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8BB98" w14:textId="5FFAE248" w:rsidR="007256F7" w:rsidRPr="00E82B35" w:rsidRDefault="0055709E" w:rsidP="00A04AA0">
      <w:pPr>
        <w:shd w:val="clear" w:color="auto" w:fill="FFFFFF"/>
        <w:spacing w:before="240" w:after="0"/>
        <w:jc w:val="center"/>
        <w:rPr>
          <w:rFonts w:ascii="Times New Roman" w:eastAsia="Arial Unicode MS" w:hAnsi="Times New Roman" w:cs="Times New Roman"/>
          <w:b/>
          <w:sz w:val="24"/>
          <w:szCs w:val="24"/>
          <w:lang w:val="tr-TR"/>
        </w:rPr>
      </w:pPr>
      <w:bookmarkStart w:id="0" w:name="_GoBack"/>
      <w:bookmarkEnd w:id="0"/>
      <w:r w:rsidRPr="00E82B35">
        <w:rPr>
          <w:rFonts w:ascii="Times New Roman" w:hAnsi="Times New Roman" w:cs="Times New Roman"/>
          <w:b/>
          <w:spacing w:val="-4"/>
          <w:sz w:val="24"/>
          <w:lang w:val="tr-TR"/>
        </w:rPr>
        <w:t>KIRGIZ CUM</w:t>
      </w:r>
      <w:r w:rsidRPr="00E82B35">
        <w:rPr>
          <w:rFonts w:ascii="Times New Roman" w:eastAsia="Arial Unicode MS" w:hAnsi="Times New Roman" w:cs="Times New Roman"/>
          <w:b/>
          <w:sz w:val="24"/>
          <w:szCs w:val="24"/>
          <w:lang w:val="tr-TR"/>
        </w:rPr>
        <w:t>HURİYETİ</w:t>
      </w:r>
      <w:r w:rsidR="00E82B35" w:rsidRPr="00E82B35">
        <w:rPr>
          <w:rFonts w:ascii="Times New Roman" w:eastAsia="Arial Unicode MS" w:hAnsi="Times New Roman" w:cs="Times New Roman"/>
          <w:b/>
          <w:sz w:val="24"/>
          <w:szCs w:val="24"/>
          <w:lang w:val="tr-TR"/>
        </w:rPr>
        <w:t>’</w:t>
      </w:r>
      <w:r w:rsidRPr="00E82B35">
        <w:rPr>
          <w:rFonts w:ascii="Times New Roman" w:eastAsia="Arial Unicode MS" w:hAnsi="Times New Roman" w:cs="Times New Roman"/>
          <w:b/>
          <w:sz w:val="24"/>
          <w:szCs w:val="24"/>
          <w:lang w:val="tr-TR"/>
        </w:rPr>
        <w:t>NDE HALK SAĞLIĞI SİSTEMİNİN FİNANSMANI VE POTANSİYEL KAYNAKLARI</w:t>
      </w:r>
    </w:p>
    <w:p w14:paraId="08819515" w14:textId="5CBF3637" w:rsidR="00B43F4A" w:rsidRDefault="008C7248" w:rsidP="005E4A12">
      <w:pPr>
        <w:shd w:val="clear" w:color="auto" w:fill="FFFFFF"/>
        <w:spacing w:before="240" w:after="240"/>
        <w:jc w:val="center"/>
        <w:rPr>
          <w:rFonts w:ascii="Times New Roman" w:eastAsia="Arial Unicode MS" w:hAnsi="Times New Roman" w:cs="Times New Roman"/>
          <w:b/>
          <w:sz w:val="24"/>
          <w:szCs w:val="24"/>
          <w:lang w:val="tr-TR"/>
        </w:rPr>
      </w:pPr>
      <w:r>
        <w:rPr>
          <w:rFonts w:ascii="Times New Roman" w:eastAsia="Arial Unicode MS" w:hAnsi="Times New Roman" w:cs="Times New Roman"/>
          <w:b/>
          <w:sz w:val="24"/>
          <w:szCs w:val="24"/>
          <w:lang w:val="tr-TR"/>
        </w:rPr>
        <w:t>Financing of The Public Health</w:t>
      </w:r>
      <w:r w:rsidRPr="008C7248">
        <w:rPr>
          <w:rFonts w:ascii="Times New Roman" w:eastAsia="Arial Unicode MS" w:hAnsi="Times New Roman" w:cs="Times New Roman"/>
          <w:b/>
          <w:sz w:val="24"/>
          <w:szCs w:val="24"/>
          <w:lang w:val="en-US"/>
        </w:rPr>
        <w:t xml:space="preserve"> </w:t>
      </w:r>
      <w:r w:rsidR="0055709E" w:rsidRPr="00E82B35">
        <w:rPr>
          <w:rFonts w:ascii="Times New Roman" w:eastAsia="Arial Unicode MS" w:hAnsi="Times New Roman" w:cs="Times New Roman"/>
          <w:b/>
          <w:sz w:val="24"/>
          <w:szCs w:val="24"/>
          <w:lang w:val="tr-TR"/>
        </w:rPr>
        <w:t>System in The Kyrgyz Republic and Its Potential Sources</w:t>
      </w:r>
    </w:p>
    <w:p w14:paraId="093CCE3F" w14:textId="58CBB7C4" w:rsidR="00D97622" w:rsidRPr="007D507F" w:rsidRDefault="00D97622" w:rsidP="005E4A12">
      <w:pPr>
        <w:shd w:val="clear" w:color="auto" w:fill="FFFFFF"/>
        <w:spacing w:after="0" w:line="240" w:lineRule="auto"/>
        <w:ind w:firstLine="567"/>
        <w:jc w:val="both"/>
        <w:rPr>
          <w:rFonts w:ascii="Times New Roman" w:eastAsia="Arial Unicode MS" w:hAnsi="Times New Roman" w:cs="Times New Roman"/>
          <w:lang w:val="en-US"/>
        </w:rPr>
      </w:pPr>
      <w:r w:rsidRPr="007D507F">
        <w:rPr>
          <w:rFonts w:ascii="Times New Roman" w:eastAsia="Arial Unicode MS" w:hAnsi="Times New Roman" w:cs="Times New Roman"/>
          <w:lang w:val="en-US"/>
        </w:rPr>
        <w:t>It is the duty of every state to provide quality and accessible medical services. In the Kyrgyz Republic, despite the multi-channel financing sources, the amount of financing does not correspond to the real needs of health services. Fund resources data of the single payment system show that there has</w:t>
      </w:r>
      <w:r w:rsidR="007D507F" w:rsidRPr="007D507F">
        <w:rPr>
          <w:rFonts w:ascii="Times New Roman" w:eastAsia="Arial Unicode MS" w:hAnsi="Times New Roman" w:cs="Times New Roman"/>
          <w:lang w:val="en-US"/>
        </w:rPr>
        <w:t xml:space="preserve"> been a significant increase in </w:t>
      </w:r>
      <w:r w:rsidRPr="007D507F">
        <w:rPr>
          <w:rFonts w:ascii="Times New Roman" w:eastAsia="Arial Unicode MS" w:hAnsi="Times New Roman" w:cs="Times New Roman"/>
          <w:lang w:val="en-US"/>
        </w:rPr>
        <w:t>financial</w:t>
      </w:r>
      <w:r w:rsidR="007D507F" w:rsidRPr="007D507F">
        <w:rPr>
          <w:rFonts w:ascii="Times New Roman" w:eastAsia="Arial Unicode MS" w:hAnsi="Times New Roman" w:cs="Times New Roman"/>
          <w:lang w:val="en-US"/>
        </w:rPr>
        <w:t xml:space="preserve"> resources in the last 10 </w:t>
      </w:r>
      <w:r w:rsidRPr="007D507F">
        <w:rPr>
          <w:rFonts w:ascii="Times New Roman" w:eastAsia="Arial Unicode MS" w:hAnsi="Times New Roman" w:cs="Times New Roman"/>
          <w:lang w:val="en-US"/>
        </w:rPr>
        <w:t>years. However, the share of government spending on health services in the Kyrgyz Republic budget remains insignificant. This characterizes the continuation of the residual principle of health system financing. Unemployed persons and students find themselves outside the Government Guarantee Program and are not eligible for government medical assistance. Considering that this population category is a potential source of labor in the labor market, the development of the real sector will be affected. The financial resources of the state programs do not meet the implementation needs, which is the main problem of the health system. Exploring potential financial resources for health care and identifying ways to distribute and use them effectively requires improving funding for public health organizations. In this context, a mechanism for attracting additional funding sources and their effective use is being considered.</w:t>
      </w:r>
    </w:p>
    <w:p w14:paraId="7CC0F7D0" w14:textId="77777777" w:rsidR="00D97622" w:rsidRPr="007D507F" w:rsidRDefault="00D97622" w:rsidP="005E4A12">
      <w:pPr>
        <w:shd w:val="clear" w:color="auto" w:fill="FFFFFF"/>
        <w:spacing w:line="240" w:lineRule="auto"/>
        <w:ind w:firstLine="567"/>
        <w:jc w:val="both"/>
        <w:rPr>
          <w:rFonts w:ascii="Times New Roman" w:eastAsia="Arial Unicode MS" w:hAnsi="Times New Roman" w:cs="Times New Roman"/>
          <w:lang w:val="en-US"/>
        </w:rPr>
      </w:pPr>
      <w:r w:rsidRPr="007D507F">
        <w:rPr>
          <w:rFonts w:ascii="Times New Roman" w:eastAsia="Arial Unicode MS" w:hAnsi="Times New Roman" w:cs="Times New Roman"/>
          <w:lang w:val="en-US"/>
        </w:rPr>
        <w:t>The aim of the article is to evaluate the financial resources of public health institutions and to identify potential resources. A comparative analysis was made on the annual data of the Ministry of Health of the Kyrgyz Republic and the Compulsory Health Insurance Fund, considering the 2009-2019 period. The changes in the structure and dynamics of the financial resources of the state health institutions of the country during the 10-year period have been determined. In conclusion, the study proposes to increase the amount of funds from the state budget allocated to improve the health of pensioners and children under 16, and to individualize the accounting of funds for compulsory health insurance for commercial organizations. Providing a differentiated approach to citizens, taking into account the type of activity, age category, social status, accessibility and transparency to improve the existing insurance system, legalize informal payment funds, make them visible and adjustable, create funds for a health organization through funds from paid services, and It is recommended that it be used primarily to increase the wages of employees.</w:t>
      </w:r>
    </w:p>
    <w:p w14:paraId="500F2086" w14:textId="3C183792" w:rsidR="00D97622" w:rsidRPr="007D507F" w:rsidRDefault="00D97622" w:rsidP="005E4A12">
      <w:pPr>
        <w:shd w:val="clear" w:color="auto" w:fill="FFFFFF"/>
        <w:spacing w:line="240" w:lineRule="auto"/>
        <w:ind w:firstLine="567"/>
        <w:jc w:val="both"/>
        <w:rPr>
          <w:rFonts w:ascii="Times New Roman" w:eastAsia="Arial Unicode MS" w:hAnsi="Times New Roman" w:cs="Times New Roman"/>
          <w:lang w:val="en-US"/>
        </w:rPr>
      </w:pPr>
      <w:r w:rsidRPr="007D507F">
        <w:rPr>
          <w:rFonts w:ascii="Times New Roman" w:eastAsia="Arial Unicode MS" w:hAnsi="Times New Roman" w:cs="Times New Roman"/>
          <w:lang w:val="en-US"/>
        </w:rPr>
        <w:t>Keywords: State Guarantee Programs, Compulsory Health Insurance, Paid Health Services, Contribution</w:t>
      </w:r>
      <w:r w:rsidR="00812129" w:rsidRPr="007D507F">
        <w:rPr>
          <w:rFonts w:ascii="Times New Roman" w:eastAsia="Arial Unicode MS" w:hAnsi="Times New Roman" w:cs="Times New Roman"/>
          <w:lang w:val="en-US"/>
        </w:rPr>
        <w:t xml:space="preserve"> Margin</w:t>
      </w:r>
      <w:r w:rsidRPr="007D507F">
        <w:rPr>
          <w:rFonts w:ascii="Times New Roman" w:eastAsia="Arial Unicode MS" w:hAnsi="Times New Roman" w:cs="Times New Roman"/>
          <w:lang w:val="en-US"/>
        </w:rPr>
        <w:t>.</w:t>
      </w:r>
    </w:p>
    <w:p w14:paraId="608951AA" w14:textId="37C75B42" w:rsidR="00E51141" w:rsidRPr="006C5E8A" w:rsidRDefault="00E51141" w:rsidP="00E51141">
      <w:pPr>
        <w:shd w:val="clear" w:color="auto" w:fill="FFFFFF"/>
        <w:rPr>
          <w:rFonts w:ascii="Times New Roman" w:eastAsia="Arial Unicode MS" w:hAnsi="Times New Roman" w:cs="Times New Roman"/>
          <w:sz w:val="24"/>
          <w:szCs w:val="24"/>
          <w:lang w:val="tr-TR"/>
        </w:rPr>
      </w:pPr>
      <w:r w:rsidRPr="006C5E8A">
        <w:rPr>
          <w:rFonts w:ascii="Times New Roman" w:eastAsia="Arial Unicode MS" w:hAnsi="Times New Roman" w:cs="Times New Roman"/>
          <w:sz w:val="24"/>
          <w:szCs w:val="24"/>
          <w:lang w:val="tr-TR"/>
        </w:rPr>
        <w:t>JEL</w:t>
      </w:r>
      <w:r w:rsidR="00812129">
        <w:rPr>
          <w:rFonts w:ascii="Times New Roman" w:eastAsia="Arial Unicode MS" w:hAnsi="Times New Roman" w:cs="Times New Roman"/>
          <w:sz w:val="24"/>
          <w:szCs w:val="24"/>
          <w:lang w:val="tr-TR"/>
        </w:rPr>
        <w:t xml:space="preserve"> Codes</w:t>
      </w:r>
      <w:r w:rsidRPr="006C5E8A">
        <w:rPr>
          <w:rFonts w:ascii="Times New Roman" w:eastAsia="Arial Unicode MS" w:hAnsi="Times New Roman" w:cs="Times New Roman"/>
          <w:sz w:val="24"/>
          <w:szCs w:val="24"/>
          <w:lang w:val="tr-TR"/>
        </w:rPr>
        <w:t xml:space="preserve">: I11, I13, I18  </w:t>
      </w:r>
    </w:p>
    <w:p w14:paraId="0F0ED9A0" w14:textId="77777777" w:rsidR="00FB70D0" w:rsidRPr="00A82BED" w:rsidRDefault="00FB70D0" w:rsidP="00526B4F">
      <w:pPr>
        <w:shd w:val="clear" w:color="auto" w:fill="FFFFFF"/>
        <w:ind w:firstLine="567"/>
        <w:rPr>
          <w:rFonts w:ascii="Times New Roman" w:eastAsia="Arial Unicode MS" w:hAnsi="Times New Roman" w:cs="Times New Roman"/>
          <w:b/>
          <w:sz w:val="24"/>
          <w:szCs w:val="24"/>
          <w:lang w:val="tr-TR"/>
        </w:rPr>
      </w:pPr>
      <w:r w:rsidRPr="00A82BED">
        <w:rPr>
          <w:rFonts w:ascii="Times New Roman" w:eastAsia="Arial Unicode MS" w:hAnsi="Times New Roman" w:cs="Times New Roman"/>
          <w:b/>
          <w:sz w:val="24"/>
          <w:szCs w:val="24"/>
          <w:lang w:val="tr-TR"/>
        </w:rPr>
        <w:t xml:space="preserve">Özet </w:t>
      </w:r>
    </w:p>
    <w:p w14:paraId="47BF940F" w14:textId="3C274E22" w:rsidR="00CC7D94" w:rsidRPr="007D507F" w:rsidRDefault="00E737E6" w:rsidP="005E4A12">
      <w:pPr>
        <w:spacing w:after="0" w:line="240" w:lineRule="auto"/>
        <w:ind w:firstLine="567"/>
        <w:jc w:val="both"/>
        <w:rPr>
          <w:rFonts w:ascii="Times New Roman" w:eastAsia="Arial Unicode MS" w:hAnsi="Times New Roman" w:cs="Times New Roman"/>
          <w:lang w:val="tr-TR"/>
        </w:rPr>
      </w:pPr>
      <w:r w:rsidRPr="007D507F">
        <w:rPr>
          <w:rFonts w:ascii="Times New Roman" w:eastAsia="Arial Unicode MS" w:hAnsi="Times New Roman" w:cs="Times New Roman"/>
          <w:lang w:val="tr-TR"/>
        </w:rPr>
        <w:t>Kaliteli ve erişile</w:t>
      </w:r>
      <w:r w:rsidR="00566D69" w:rsidRPr="007D507F">
        <w:rPr>
          <w:rFonts w:ascii="Times New Roman" w:eastAsia="Arial Unicode MS" w:hAnsi="Times New Roman" w:cs="Times New Roman"/>
          <w:lang w:val="tr-TR"/>
        </w:rPr>
        <w:t>bilir</w:t>
      </w:r>
      <w:r w:rsidRPr="007D507F">
        <w:rPr>
          <w:rFonts w:ascii="Times New Roman" w:eastAsia="Arial Unicode MS" w:hAnsi="Times New Roman" w:cs="Times New Roman"/>
          <w:lang w:val="tr-TR"/>
        </w:rPr>
        <w:t xml:space="preserve"> </w:t>
      </w:r>
      <w:r w:rsidR="00CC7D94" w:rsidRPr="007D507F">
        <w:rPr>
          <w:rFonts w:ascii="Times New Roman" w:eastAsia="Arial Unicode MS" w:hAnsi="Times New Roman" w:cs="Times New Roman"/>
          <w:lang w:val="tr-TR"/>
        </w:rPr>
        <w:t>tıbbi hizmetler sunmak her devleti</w:t>
      </w:r>
      <w:r w:rsidR="00E621D9" w:rsidRPr="007D507F">
        <w:rPr>
          <w:rFonts w:ascii="Times New Roman" w:eastAsia="Arial Unicode MS" w:hAnsi="Times New Roman" w:cs="Times New Roman"/>
          <w:lang w:val="tr-TR"/>
        </w:rPr>
        <w:t>n görevidir. Kırgız Cumhuriyeti’</w:t>
      </w:r>
      <w:r w:rsidR="00CC7D94" w:rsidRPr="007D507F">
        <w:rPr>
          <w:rFonts w:ascii="Times New Roman" w:eastAsia="Arial Unicode MS" w:hAnsi="Times New Roman" w:cs="Times New Roman"/>
          <w:lang w:val="tr-TR"/>
        </w:rPr>
        <w:t xml:space="preserve">nde, çok kanallı finansman kaynaklarına rağmen, finansman miktarı sağlık hizmetlerinin gerçek ihtiyaçlarına karşılık gelmemektedir. Tek ödemeli sistemin fon kaynakları verileri, son 10 yılda finansal kaynaklarda önemli bir artış olduğunu göstermektedir. Bununla birlikte, Kırgız Cumhuriyeti bütçesinde sağlık hizmetlerine yapılan devlet harcamalarının payı önemsiz olmaya devam etmektedir. Bu durum, sağlık sisteminin finansmanına ilişkin kalıntı ilkesinin devamını karakterize eder. İşsiz kişiler ve öğrenciler kendilerini Devlet Garanti Programının dışında bulurlar ve devletin tıbbi yardımına </w:t>
      </w:r>
      <w:r w:rsidRPr="007D507F">
        <w:rPr>
          <w:rFonts w:ascii="Times New Roman" w:eastAsia="Arial Unicode MS" w:hAnsi="Times New Roman" w:cs="Times New Roman"/>
          <w:lang w:val="tr-TR"/>
        </w:rPr>
        <w:t xml:space="preserve">faydalanamazlar. </w:t>
      </w:r>
      <w:r w:rsidR="00CC7D94" w:rsidRPr="007D507F">
        <w:rPr>
          <w:rFonts w:ascii="Times New Roman" w:eastAsia="Arial Unicode MS" w:hAnsi="Times New Roman" w:cs="Times New Roman"/>
          <w:lang w:val="tr-TR"/>
        </w:rPr>
        <w:t>Bu nüfus kategorisinin işgücü piyasasında potans</w:t>
      </w:r>
      <w:r w:rsidRPr="007D507F">
        <w:rPr>
          <w:rFonts w:ascii="Times New Roman" w:eastAsia="Arial Unicode MS" w:hAnsi="Times New Roman" w:cs="Times New Roman"/>
          <w:lang w:val="tr-TR"/>
        </w:rPr>
        <w:t>iyel bir işgücü kaynağı olduğu</w:t>
      </w:r>
      <w:r w:rsidR="00CC7D94" w:rsidRPr="007D507F">
        <w:rPr>
          <w:rFonts w:ascii="Times New Roman" w:eastAsia="Arial Unicode MS" w:hAnsi="Times New Roman" w:cs="Times New Roman"/>
          <w:lang w:val="tr-TR"/>
        </w:rPr>
        <w:t xml:space="preserve"> dikkate </w:t>
      </w:r>
      <w:r w:rsidRPr="007D507F">
        <w:rPr>
          <w:rFonts w:ascii="Times New Roman" w:eastAsia="Arial Unicode MS" w:hAnsi="Times New Roman" w:cs="Times New Roman"/>
          <w:lang w:val="tr-TR"/>
        </w:rPr>
        <w:t xml:space="preserve">alınırsa, </w:t>
      </w:r>
      <w:r w:rsidR="00CC7D94" w:rsidRPr="007D507F">
        <w:rPr>
          <w:rFonts w:ascii="Times New Roman" w:eastAsia="Arial Unicode MS" w:hAnsi="Times New Roman" w:cs="Times New Roman"/>
          <w:lang w:val="tr-TR"/>
        </w:rPr>
        <w:t>re</w:t>
      </w:r>
      <w:r w:rsidRPr="007D507F">
        <w:rPr>
          <w:rFonts w:ascii="Times New Roman" w:eastAsia="Arial Unicode MS" w:hAnsi="Times New Roman" w:cs="Times New Roman"/>
          <w:lang w:val="tr-TR"/>
        </w:rPr>
        <w:t>el sektörünün gelişimi</w:t>
      </w:r>
      <w:r w:rsidR="00B35EC7" w:rsidRPr="007D507F">
        <w:rPr>
          <w:rFonts w:ascii="Times New Roman" w:eastAsia="Arial Unicode MS" w:hAnsi="Times New Roman" w:cs="Times New Roman"/>
          <w:lang w:val="tr-TR"/>
        </w:rPr>
        <w:t xml:space="preserve"> </w:t>
      </w:r>
      <w:r w:rsidR="00CC7D94" w:rsidRPr="007D507F">
        <w:rPr>
          <w:rFonts w:ascii="Times New Roman" w:eastAsia="Arial Unicode MS" w:hAnsi="Times New Roman" w:cs="Times New Roman"/>
          <w:lang w:val="tr-TR"/>
        </w:rPr>
        <w:t>et</w:t>
      </w:r>
      <w:r w:rsidRPr="007D507F">
        <w:rPr>
          <w:rFonts w:ascii="Times New Roman" w:eastAsia="Arial Unicode MS" w:hAnsi="Times New Roman" w:cs="Times New Roman"/>
          <w:lang w:val="tr-TR"/>
        </w:rPr>
        <w:t>kile</w:t>
      </w:r>
      <w:r w:rsidR="00B35EC7" w:rsidRPr="007D507F">
        <w:rPr>
          <w:rFonts w:ascii="Times New Roman" w:eastAsia="Arial Unicode MS" w:hAnsi="Times New Roman" w:cs="Times New Roman"/>
          <w:lang w:val="tr-TR"/>
        </w:rPr>
        <w:t>n</w:t>
      </w:r>
      <w:r w:rsidR="00CC7D94" w:rsidRPr="007D507F">
        <w:rPr>
          <w:rFonts w:ascii="Times New Roman" w:eastAsia="Arial Unicode MS" w:hAnsi="Times New Roman" w:cs="Times New Roman"/>
          <w:lang w:val="tr-TR"/>
        </w:rPr>
        <w:t>ecektir. Devlet programlarının mali kaynakları, sağlık sisteminin temel sor</w:t>
      </w:r>
      <w:r w:rsidR="008B5059" w:rsidRPr="007D507F">
        <w:rPr>
          <w:rFonts w:ascii="Times New Roman" w:eastAsia="Arial Unicode MS" w:hAnsi="Times New Roman" w:cs="Times New Roman"/>
          <w:lang w:val="tr-TR"/>
        </w:rPr>
        <w:t xml:space="preserve">unu olan uygulama </w:t>
      </w:r>
      <w:r w:rsidR="000C60C3" w:rsidRPr="007D507F">
        <w:rPr>
          <w:rFonts w:ascii="Times New Roman" w:eastAsia="Arial Unicode MS" w:hAnsi="Times New Roman" w:cs="Times New Roman"/>
          <w:lang w:val="tr-TR"/>
        </w:rPr>
        <w:t xml:space="preserve">ihtiyaçlarını </w:t>
      </w:r>
      <w:r w:rsidR="007A4293" w:rsidRPr="007D507F">
        <w:rPr>
          <w:rFonts w:ascii="Times New Roman" w:eastAsia="Arial Unicode MS" w:hAnsi="Times New Roman" w:cs="Times New Roman"/>
          <w:lang w:val="tr-TR"/>
        </w:rPr>
        <w:t>karşılamam</w:t>
      </w:r>
      <w:r w:rsidR="000C60C3" w:rsidRPr="007D507F">
        <w:rPr>
          <w:rFonts w:ascii="Times New Roman" w:eastAsia="Arial Unicode MS" w:hAnsi="Times New Roman" w:cs="Times New Roman"/>
          <w:lang w:val="tr-TR"/>
        </w:rPr>
        <w:t>a</w:t>
      </w:r>
      <w:r w:rsidR="007A4293" w:rsidRPr="007D507F">
        <w:rPr>
          <w:rFonts w:ascii="Times New Roman" w:eastAsia="Arial Unicode MS" w:hAnsi="Times New Roman" w:cs="Times New Roman"/>
          <w:lang w:val="tr-TR"/>
        </w:rPr>
        <w:t>ktadır</w:t>
      </w:r>
      <w:r w:rsidR="00CC7D94" w:rsidRPr="007D507F">
        <w:rPr>
          <w:rFonts w:ascii="Times New Roman" w:eastAsia="Arial Unicode MS" w:hAnsi="Times New Roman" w:cs="Times New Roman"/>
          <w:lang w:val="tr-TR"/>
        </w:rPr>
        <w:t>.</w:t>
      </w:r>
      <w:r w:rsidR="000C60C3" w:rsidRPr="007D507F">
        <w:rPr>
          <w:rFonts w:ascii="Times New Roman" w:eastAsia="Arial Unicode MS" w:hAnsi="Times New Roman" w:cs="Times New Roman"/>
          <w:lang w:val="tr-TR"/>
        </w:rPr>
        <w:t xml:space="preserve"> </w:t>
      </w:r>
      <w:r w:rsidR="00CC7D94" w:rsidRPr="007D507F">
        <w:rPr>
          <w:rFonts w:ascii="Times New Roman" w:eastAsia="Arial Unicode MS" w:hAnsi="Times New Roman" w:cs="Times New Roman"/>
          <w:lang w:val="tr-TR"/>
        </w:rPr>
        <w:t>Sağlık hizmetleri için potansiyel finan</w:t>
      </w:r>
      <w:r w:rsidR="008B5059" w:rsidRPr="007D507F">
        <w:rPr>
          <w:rFonts w:ascii="Times New Roman" w:eastAsia="Arial Unicode MS" w:hAnsi="Times New Roman" w:cs="Times New Roman"/>
          <w:lang w:val="tr-TR"/>
        </w:rPr>
        <w:t xml:space="preserve">sal kaynakların araştırılması, </w:t>
      </w:r>
      <w:r w:rsidR="00CC7D94" w:rsidRPr="007D507F">
        <w:rPr>
          <w:rFonts w:ascii="Times New Roman" w:eastAsia="Arial Unicode MS" w:hAnsi="Times New Roman" w:cs="Times New Roman"/>
          <w:lang w:val="tr-TR"/>
        </w:rPr>
        <w:t xml:space="preserve">bunların etkili bir şekilde dağıtılmasının ve kullanılmasının yollarını belirlemek, halk sağlığı kuruluşlarının finansmanının iyileştirilmesini </w:t>
      </w:r>
      <w:r w:rsidR="007A4293" w:rsidRPr="007D507F">
        <w:rPr>
          <w:rFonts w:ascii="Times New Roman" w:eastAsia="Arial Unicode MS" w:hAnsi="Times New Roman" w:cs="Times New Roman"/>
          <w:lang w:val="tr-TR"/>
        </w:rPr>
        <w:t>gerektirmektedir</w:t>
      </w:r>
      <w:r w:rsidR="00CC7D94" w:rsidRPr="007D507F">
        <w:rPr>
          <w:rFonts w:ascii="Times New Roman" w:eastAsia="Arial Unicode MS" w:hAnsi="Times New Roman" w:cs="Times New Roman"/>
          <w:lang w:val="tr-TR"/>
        </w:rPr>
        <w:t>.</w:t>
      </w:r>
      <w:r w:rsidR="000C60C3" w:rsidRPr="007D507F">
        <w:rPr>
          <w:rFonts w:ascii="Times New Roman" w:eastAsia="Arial Unicode MS" w:hAnsi="Times New Roman" w:cs="Times New Roman"/>
          <w:lang w:val="tr-TR"/>
        </w:rPr>
        <w:t xml:space="preserve"> </w:t>
      </w:r>
      <w:r w:rsidR="00CC7D94" w:rsidRPr="007D507F">
        <w:rPr>
          <w:rFonts w:ascii="Times New Roman" w:eastAsia="Arial Unicode MS" w:hAnsi="Times New Roman" w:cs="Times New Roman"/>
          <w:lang w:val="tr-TR"/>
        </w:rPr>
        <w:t>Bu bağlamda, ek fon kaynaklarının çekilmesi ve bunların etkin kullanımı için bir mekanizma düşünülmektedir.</w:t>
      </w:r>
    </w:p>
    <w:p w14:paraId="7F187EB8" w14:textId="59250315" w:rsidR="000A09DA" w:rsidRPr="007D507F" w:rsidRDefault="003A14D9" w:rsidP="005E4A12">
      <w:pPr>
        <w:spacing w:line="240" w:lineRule="auto"/>
        <w:ind w:firstLine="567"/>
        <w:jc w:val="both"/>
        <w:rPr>
          <w:rFonts w:ascii="Times New Roman" w:eastAsia="Arial Unicode MS" w:hAnsi="Times New Roman" w:cs="Times New Roman"/>
          <w:lang w:val="tr-TR"/>
        </w:rPr>
      </w:pPr>
      <w:r w:rsidRPr="007D507F">
        <w:rPr>
          <w:rFonts w:ascii="Times New Roman" w:eastAsia="Arial Unicode MS" w:hAnsi="Times New Roman" w:cs="Times New Roman"/>
          <w:lang w:val="tr-TR"/>
        </w:rPr>
        <w:t xml:space="preserve">Makalenin amacı, </w:t>
      </w:r>
      <w:r w:rsidR="00CA4279" w:rsidRPr="007D507F">
        <w:rPr>
          <w:rFonts w:ascii="Times New Roman" w:eastAsia="Arial Unicode MS" w:hAnsi="Times New Roman" w:cs="Times New Roman"/>
          <w:lang w:val="tr-TR"/>
        </w:rPr>
        <w:t>halk sağlığı kuruluşlarının mali</w:t>
      </w:r>
      <w:r w:rsidRPr="007D507F">
        <w:rPr>
          <w:rFonts w:ascii="Times New Roman" w:eastAsia="Arial Unicode MS" w:hAnsi="Times New Roman" w:cs="Times New Roman"/>
          <w:lang w:val="tr-TR"/>
        </w:rPr>
        <w:t xml:space="preserve"> kaynaklarını</w:t>
      </w:r>
      <w:r w:rsidR="00CA4279" w:rsidRPr="007D507F">
        <w:rPr>
          <w:rFonts w:ascii="Times New Roman" w:eastAsia="Arial Unicode MS" w:hAnsi="Times New Roman" w:cs="Times New Roman"/>
          <w:lang w:val="tr-TR"/>
        </w:rPr>
        <w:t xml:space="preserve">n </w:t>
      </w:r>
      <w:r w:rsidRPr="007D507F">
        <w:rPr>
          <w:rFonts w:ascii="Times New Roman" w:eastAsia="Arial Unicode MS" w:hAnsi="Times New Roman" w:cs="Times New Roman"/>
          <w:lang w:val="tr-TR"/>
        </w:rPr>
        <w:t>değerlendir</w:t>
      </w:r>
      <w:r w:rsidR="00CA4279" w:rsidRPr="007D507F">
        <w:rPr>
          <w:rFonts w:ascii="Times New Roman" w:eastAsia="Arial Unicode MS" w:hAnsi="Times New Roman" w:cs="Times New Roman"/>
          <w:lang w:val="tr-TR"/>
        </w:rPr>
        <w:t>ilmesi ve potansiyel kaynakların belirlenmesidir.</w:t>
      </w:r>
      <w:r w:rsidR="0007556E" w:rsidRPr="007D507F">
        <w:rPr>
          <w:rFonts w:ascii="Times New Roman" w:eastAsia="Arial Unicode MS" w:hAnsi="Times New Roman" w:cs="Times New Roman"/>
          <w:lang w:val="tr-TR"/>
        </w:rPr>
        <w:t xml:space="preserve"> </w:t>
      </w:r>
      <w:r w:rsidR="00CA4279" w:rsidRPr="007D507F">
        <w:rPr>
          <w:rFonts w:ascii="Times New Roman" w:eastAsia="Arial Unicode MS" w:hAnsi="Times New Roman" w:cs="Times New Roman"/>
          <w:lang w:val="tr-TR"/>
        </w:rPr>
        <w:t>Kırgız Cumhuriyeti Sağlık Bakanlığı ve Zorunlu Sağlık Sigortası Fonu’nu</w:t>
      </w:r>
      <w:r w:rsidR="00B35EC7" w:rsidRPr="007D507F">
        <w:rPr>
          <w:rFonts w:ascii="Times New Roman" w:eastAsia="Arial Unicode MS" w:hAnsi="Times New Roman" w:cs="Times New Roman"/>
          <w:lang w:val="tr-TR"/>
        </w:rPr>
        <w:t>n yıllık verileri üzerinde 2009</w:t>
      </w:r>
      <w:r w:rsidR="00CA4279" w:rsidRPr="007D507F">
        <w:rPr>
          <w:rFonts w:ascii="Times New Roman" w:eastAsia="Arial Unicode MS" w:hAnsi="Times New Roman" w:cs="Times New Roman"/>
          <w:lang w:val="tr-TR"/>
        </w:rPr>
        <w:t xml:space="preserve">-2019 dönem </w:t>
      </w:r>
      <w:r w:rsidR="00D1206B" w:rsidRPr="007D507F">
        <w:rPr>
          <w:rFonts w:ascii="Times New Roman" w:eastAsia="Arial Unicode MS" w:hAnsi="Times New Roman" w:cs="Times New Roman"/>
          <w:lang w:val="tr-TR"/>
        </w:rPr>
        <w:t>ele alınarak</w:t>
      </w:r>
      <w:r w:rsidR="00615ACF" w:rsidRPr="007D507F">
        <w:rPr>
          <w:rFonts w:ascii="Times New Roman" w:eastAsia="Arial Unicode MS" w:hAnsi="Times New Roman" w:cs="Times New Roman"/>
          <w:lang w:val="tr-TR"/>
        </w:rPr>
        <w:t xml:space="preserve"> </w:t>
      </w:r>
      <w:r w:rsidR="00CA4279" w:rsidRPr="007D507F">
        <w:rPr>
          <w:rFonts w:ascii="Times New Roman" w:eastAsia="Arial Unicode MS" w:hAnsi="Times New Roman" w:cs="Times New Roman"/>
          <w:lang w:val="tr-TR"/>
        </w:rPr>
        <w:t xml:space="preserve">karşılaştırmalı analiz </w:t>
      </w:r>
      <w:r w:rsidR="00D1206B" w:rsidRPr="007D507F">
        <w:rPr>
          <w:rFonts w:ascii="Times New Roman" w:eastAsia="Arial Unicode MS" w:hAnsi="Times New Roman" w:cs="Times New Roman"/>
          <w:lang w:val="tr-TR"/>
        </w:rPr>
        <w:t>yapılmıştır. 10 yıllık süreç</w:t>
      </w:r>
      <w:r w:rsidR="00CA4279" w:rsidRPr="007D507F">
        <w:rPr>
          <w:rFonts w:ascii="Times New Roman" w:eastAsia="Arial Unicode MS" w:hAnsi="Times New Roman" w:cs="Times New Roman"/>
          <w:lang w:val="tr-TR"/>
        </w:rPr>
        <w:t xml:space="preserve"> içerisinde ülkenin </w:t>
      </w:r>
      <w:r w:rsidR="008C7248" w:rsidRPr="007D507F">
        <w:rPr>
          <w:rFonts w:ascii="Times New Roman" w:eastAsia="Arial Unicode MS" w:hAnsi="Times New Roman" w:cs="Times New Roman"/>
          <w:lang w:val="tr-TR"/>
        </w:rPr>
        <w:t xml:space="preserve">halk </w:t>
      </w:r>
      <w:r w:rsidR="005571A8" w:rsidRPr="007D507F">
        <w:rPr>
          <w:rFonts w:ascii="Times New Roman" w:eastAsia="Arial Unicode MS" w:hAnsi="Times New Roman" w:cs="Times New Roman"/>
          <w:lang w:val="tr-TR"/>
        </w:rPr>
        <w:t>sağlı</w:t>
      </w:r>
      <w:r w:rsidR="008C7248" w:rsidRPr="007D507F">
        <w:rPr>
          <w:rFonts w:ascii="Times New Roman" w:eastAsia="Arial Unicode MS" w:hAnsi="Times New Roman" w:cs="Times New Roman"/>
          <w:lang w:val="tr-TR"/>
        </w:rPr>
        <w:t>ğı</w:t>
      </w:r>
      <w:r w:rsidR="00517682" w:rsidRPr="007D507F">
        <w:rPr>
          <w:rFonts w:ascii="Times New Roman" w:eastAsia="Arial Unicode MS" w:hAnsi="Times New Roman" w:cs="Times New Roman"/>
          <w:lang w:val="tr-TR"/>
        </w:rPr>
        <w:t xml:space="preserve"> </w:t>
      </w:r>
      <w:r w:rsidR="008C7248" w:rsidRPr="007D507F">
        <w:rPr>
          <w:rFonts w:ascii="Times New Roman" w:eastAsia="Arial Unicode MS" w:hAnsi="Times New Roman" w:cs="Times New Roman"/>
          <w:lang w:val="tr-TR"/>
        </w:rPr>
        <w:t xml:space="preserve">kuruluşlarının finansal kaynakların yapısında </w:t>
      </w:r>
      <w:r w:rsidR="00CA4279" w:rsidRPr="007D507F">
        <w:rPr>
          <w:rFonts w:ascii="Times New Roman" w:eastAsia="Arial Unicode MS" w:hAnsi="Times New Roman" w:cs="Times New Roman"/>
          <w:lang w:val="tr-TR"/>
        </w:rPr>
        <w:t>ve dinamiklerinde meydana g</w:t>
      </w:r>
      <w:r w:rsidR="00B35EC7" w:rsidRPr="007D507F">
        <w:rPr>
          <w:rFonts w:ascii="Times New Roman" w:eastAsia="Arial Unicode MS" w:hAnsi="Times New Roman" w:cs="Times New Roman"/>
          <w:lang w:val="tr-TR"/>
        </w:rPr>
        <w:t xml:space="preserve">elen değişimler belirlenmiştir. </w:t>
      </w:r>
      <w:r w:rsidR="00D1206B" w:rsidRPr="007D507F">
        <w:rPr>
          <w:rFonts w:ascii="Times New Roman" w:eastAsia="Arial Unicode MS" w:hAnsi="Times New Roman" w:cs="Times New Roman"/>
          <w:lang w:val="tr-TR"/>
        </w:rPr>
        <w:t>S</w:t>
      </w:r>
      <w:r w:rsidR="00CA4279" w:rsidRPr="007D507F">
        <w:rPr>
          <w:rFonts w:ascii="Times New Roman" w:eastAsia="Arial Unicode MS" w:hAnsi="Times New Roman" w:cs="Times New Roman"/>
          <w:lang w:val="tr-TR"/>
        </w:rPr>
        <w:t xml:space="preserve">onuç olarak </w:t>
      </w:r>
      <w:r w:rsidR="0007556E" w:rsidRPr="007D507F">
        <w:rPr>
          <w:rFonts w:ascii="Times New Roman" w:eastAsia="Arial Unicode MS" w:hAnsi="Times New Roman" w:cs="Times New Roman"/>
          <w:lang w:val="tr-TR"/>
        </w:rPr>
        <w:t>çalışma</w:t>
      </w:r>
      <w:r w:rsidR="00CA4279" w:rsidRPr="007D507F">
        <w:rPr>
          <w:rFonts w:ascii="Times New Roman" w:eastAsia="Arial Unicode MS" w:hAnsi="Times New Roman" w:cs="Times New Roman"/>
          <w:lang w:val="tr-TR"/>
        </w:rPr>
        <w:t xml:space="preserve">, </w:t>
      </w:r>
      <w:r w:rsidR="008162AB" w:rsidRPr="007D507F">
        <w:rPr>
          <w:rFonts w:ascii="Times New Roman" w:eastAsia="Arial Unicode MS" w:hAnsi="Times New Roman" w:cs="Times New Roman"/>
          <w:lang w:val="tr-TR"/>
        </w:rPr>
        <w:t xml:space="preserve">emekliler ve 16 yaş altı çocukların sağlığını </w:t>
      </w:r>
      <w:r w:rsidR="008162AB" w:rsidRPr="007D507F">
        <w:rPr>
          <w:rFonts w:ascii="Times New Roman" w:eastAsia="Arial Unicode MS" w:hAnsi="Times New Roman" w:cs="Times New Roman"/>
          <w:lang w:val="tr-TR"/>
        </w:rPr>
        <w:lastRenderedPageBreak/>
        <w:t>iyileştirmek için tahsis edilen devlet bütçesinden fon miktarının artırılması</w:t>
      </w:r>
      <w:r w:rsidR="008162AB" w:rsidRPr="007D507F">
        <w:rPr>
          <w:rFonts w:ascii="Times New Roman" w:eastAsia="Arial Unicode MS" w:hAnsi="Times New Roman" w:cs="Times New Roman"/>
          <w:lang w:val="kk-KZ"/>
        </w:rPr>
        <w:t>;</w:t>
      </w:r>
      <w:r w:rsidR="008162AB" w:rsidRPr="007D507F">
        <w:rPr>
          <w:rFonts w:ascii="Times New Roman" w:eastAsia="Arial Unicode MS" w:hAnsi="Times New Roman" w:cs="Times New Roman"/>
          <w:lang w:val="tr-TR"/>
        </w:rPr>
        <w:t xml:space="preserve"> </w:t>
      </w:r>
      <w:r w:rsidR="00651CA9" w:rsidRPr="007D507F">
        <w:rPr>
          <w:rFonts w:ascii="Times New Roman" w:eastAsia="Arial Unicode MS" w:hAnsi="Times New Roman" w:cs="Times New Roman"/>
          <w:lang w:val="tr-TR"/>
        </w:rPr>
        <w:t xml:space="preserve">ticari kuruluşlar için </w:t>
      </w:r>
      <w:r w:rsidR="008162AB" w:rsidRPr="007D507F">
        <w:rPr>
          <w:rFonts w:ascii="Times New Roman" w:eastAsia="Arial Unicode MS" w:hAnsi="Times New Roman" w:cs="Times New Roman"/>
          <w:lang w:val="tr-TR"/>
        </w:rPr>
        <w:t>z</w:t>
      </w:r>
      <w:r w:rsidR="00CA4279" w:rsidRPr="007D507F">
        <w:rPr>
          <w:rFonts w:ascii="Times New Roman" w:eastAsia="Arial Unicode MS" w:hAnsi="Times New Roman" w:cs="Times New Roman"/>
          <w:lang w:val="tr-TR"/>
        </w:rPr>
        <w:t>orunlu sağlık sig</w:t>
      </w:r>
      <w:r w:rsidR="00651CA9" w:rsidRPr="007D507F">
        <w:rPr>
          <w:rFonts w:ascii="Times New Roman" w:eastAsia="Arial Unicode MS" w:hAnsi="Times New Roman" w:cs="Times New Roman"/>
          <w:lang w:val="tr-TR"/>
        </w:rPr>
        <w:t xml:space="preserve">ortası fonlarının muhasebesinin </w:t>
      </w:r>
      <w:r w:rsidR="00CA4279" w:rsidRPr="007D507F">
        <w:rPr>
          <w:rFonts w:ascii="Times New Roman" w:eastAsia="Arial Unicode MS" w:hAnsi="Times New Roman" w:cs="Times New Roman"/>
          <w:lang w:val="tr-TR"/>
        </w:rPr>
        <w:t>kişiselleştirilmesi</w:t>
      </w:r>
      <w:r w:rsidR="00D1206B" w:rsidRPr="007D507F">
        <w:rPr>
          <w:rFonts w:ascii="Times New Roman" w:eastAsia="Arial Unicode MS" w:hAnsi="Times New Roman" w:cs="Times New Roman"/>
          <w:lang w:val="tr-TR"/>
        </w:rPr>
        <w:t xml:space="preserve"> </w:t>
      </w:r>
      <w:r w:rsidR="008162AB" w:rsidRPr="007D507F">
        <w:rPr>
          <w:rFonts w:ascii="Times New Roman" w:eastAsia="Arial Unicode MS" w:hAnsi="Times New Roman" w:cs="Times New Roman"/>
          <w:lang w:val="tr-TR"/>
        </w:rPr>
        <w:t>önerilmektedir</w:t>
      </w:r>
      <w:r w:rsidR="000A09DA" w:rsidRPr="007D507F">
        <w:rPr>
          <w:rFonts w:ascii="Times New Roman" w:eastAsia="Arial Unicode MS" w:hAnsi="Times New Roman" w:cs="Times New Roman"/>
          <w:lang w:val="tr-TR"/>
        </w:rPr>
        <w:t>. Mevcut sigorta sistemini iyileştirmek için faaliyet türü, yaş kategorisi, sosyal statü, erişilebilirlik ve şeffaflık dikkate alınarak vatandaşlara farklılaştırılmış bir yaklaşım sağlanması</w:t>
      </w:r>
      <w:r w:rsidR="00D1206B" w:rsidRPr="007D507F">
        <w:rPr>
          <w:rFonts w:ascii="Times New Roman" w:eastAsia="Arial Unicode MS" w:hAnsi="Times New Roman" w:cs="Times New Roman"/>
          <w:lang w:val="tr-TR"/>
        </w:rPr>
        <w:t>; g</w:t>
      </w:r>
      <w:r w:rsidR="000A09DA" w:rsidRPr="007D507F">
        <w:rPr>
          <w:rFonts w:ascii="Times New Roman" w:eastAsia="Arial Unicode MS" w:hAnsi="Times New Roman" w:cs="Times New Roman"/>
          <w:lang w:val="tr-TR"/>
        </w:rPr>
        <w:t xml:space="preserve">ayri resmi </w:t>
      </w:r>
      <w:r w:rsidR="00D1206B" w:rsidRPr="007D507F">
        <w:rPr>
          <w:rFonts w:ascii="Times New Roman" w:eastAsia="Arial Unicode MS" w:hAnsi="Times New Roman" w:cs="Times New Roman"/>
          <w:lang w:val="tr-TR"/>
        </w:rPr>
        <w:t xml:space="preserve">ödeme fonlarının </w:t>
      </w:r>
      <w:r w:rsidR="000A09DA" w:rsidRPr="007D507F">
        <w:rPr>
          <w:rFonts w:ascii="Times New Roman" w:eastAsia="Arial Unicode MS" w:hAnsi="Times New Roman" w:cs="Times New Roman"/>
          <w:lang w:val="tr-TR"/>
        </w:rPr>
        <w:t>yasallaştırılması, görünür ve ayarlanabilir hale getirilmesi</w:t>
      </w:r>
      <w:r w:rsidR="00D1206B" w:rsidRPr="007D507F">
        <w:rPr>
          <w:rFonts w:ascii="Times New Roman" w:eastAsia="Arial Unicode MS" w:hAnsi="Times New Roman" w:cs="Times New Roman"/>
          <w:lang w:val="tr-TR"/>
        </w:rPr>
        <w:t xml:space="preserve">; ücretli hizmetlerden elde edilen fonlar </w:t>
      </w:r>
      <w:r w:rsidR="00B35EC7" w:rsidRPr="007D507F">
        <w:rPr>
          <w:rFonts w:ascii="Times New Roman" w:eastAsia="Arial Unicode MS" w:hAnsi="Times New Roman" w:cs="Times New Roman"/>
          <w:lang w:val="tr-TR"/>
        </w:rPr>
        <w:t xml:space="preserve">aracılığıyla </w:t>
      </w:r>
      <w:r w:rsidR="00D1206B" w:rsidRPr="007D507F">
        <w:rPr>
          <w:rFonts w:ascii="Times New Roman" w:eastAsia="Arial Unicode MS" w:hAnsi="Times New Roman" w:cs="Times New Roman"/>
          <w:lang w:val="tr-TR"/>
        </w:rPr>
        <w:t xml:space="preserve">bir </w:t>
      </w:r>
      <w:r w:rsidR="008B5059" w:rsidRPr="007D507F">
        <w:rPr>
          <w:rFonts w:ascii="Times New Roman" w:eastAsia="Arial Unicode MS" w:hAnsi="Times New Roman" w:cs="Times New Roman"/>
          <w:lang w:val="tr-TR"/>
        </w:rPr>
        <w:t>sağlık kuruluşu</w:t>
      </w:r>
      <w:r w:rsidR="00B35EC7" w:rsidRPr="007D507F">
        <w:rPr>
          <w:rFonts w:ascii="Times New Roman" w:eastAsia="Arial Unicode MS" w:hAnsi="Times New Roman" w:cs="Times New Roman"/>
          <w:lang w:val="tr-TR"/>
        </w:rPr>
        <w:t xml:space="preserve"> için </w:t>
      </w:r>
      <w:r w:rsidR="00D1206B" w:rsidRPr="007D507F">
        <w:rPr>
          <w:rFonts w:ascii="Times New Roman" w:eastAsia="Arial Unicode MS" w:hAnsi="Times New Roman" w:cs="Times New Roman"/>
          <w:lang w:val="tr-TR"/>
        </w:rPr>
        <w:t xml:space="preserve">fon oluşturulması ve </w:t>
      </w:r>
      <w:r w:rsidR="00D1206B" w:rsidRPr="007D507F">
        <w:rPr>
          <w:rFonts w:ascii="Times New Roman" w:hAnsi="Times New Roman" w:cs="Times New Roman"/>
          <w:lang w:val="tr-TR"/>
        </w:rPr>
        <w:t xml:space="preserve">öncelikle çalışanların ücretlerini artırmak için kullanılması </w:t>
      </w:r>
      <w:r w:rsidR="00D1206B" w:rsidRPr="007D507F">
        <w:rPr>
          <w:rFonts w:ascii="Times New Roman" w:eastAsia="Arial Unicode MS" w:hAnsi="Times New Roman" w:cs="Times New Roman"/>
          <w:lang w:val="tr-TR"/>
        </w:rPr>
        <w:t>önerilmektedir.</w:t>
      </w:r>
    </w:p>
    <w:p w14:paraId="5F9A2A50" w14:textId="3E812649" w:rsidR="00FB70D0" w:rsidRPr="007D507F" w:rsidRDefault="00A25A82" w:rsidP="005E4A12">
      <w:pPr>
        <w:shd w:val="clear" w:color="auto" w:fill="FFFFFF"/>
        <w:spacing w:line="240" w:lineRule="auto"/>
        <w:ind w:firstLine="567"/>
        <w:jc w:val="both"/>
        <w:rPr>
          <w:rFonts w:ascii="Times New Roman" w:eastAsia="Arial Unicode MS" w:hAnsi="Times New Roman" w:cs="Times New Roman"/>
          <w:lang w:val="tr-TR"/>
        </w:rPr>
      </w:pPr>
      <w:r w:rsidRPr="007D507F">
        <w:rPr>
          <w:rFonts w:ascii="Times New Roman" w:eastAsia="Arial Unicode MS" w:hAnsi="Times New Roman" w:cs="Times New Roman"/>
          <w:lang w:val="tr-TR"/>
        </w:rPr>
        <w:t>A</w:t>
      </w:r>
      <w:r w:rsidR="00FB70D0" w:rsidRPr="007D507F">
        <w:rPr>
          <w:rFonts w:ascii="Times New Roman" w:eastAsia="Arial Unicode MS" w:hAnsi="Times New Roman" w:cs="Times New Roman"/>
          <w:lang w:val="tr-TR"/>
        </w:rPr>
        <w:t xml:space="preserve">nahtar kelimeler: </w:t>
      </w:r>
      <w:r w:rsidR="00D97622" w:rsidRPr="007D507F">
        <w:rPr>
          <w:rFonts w:ascii="Times New Roman" w:eastAsia="Arial Unicode MS" w:hAnsi="Times New Roman" w:cs="Times New Roman"/>
          <w:lang w:val="tr-TR"/>
        </w:rPr>
        <w:t>Devlet Garanti Programları, Zorunlu Sağlık Sigortası, Ücretli Sağlık Hizmetleri, Katkı Payı</w:t>
      </w:r>
      <w:r w:rsidR="00CC7D94" w:rsidRPr="007D507F">
        <w:rPr>
          <w:rFonts w:ascii="Times New Roman" w:eastAsia="Arial Unicode MS" w:hAnsi="Times New Roman" w:cs="Times New Roman"/>
          <w:lang w:val="tr-TR"/>
        </w:rPr>
        <w:t>.</w:t>
      </w:r>
    </w:p>
    <w:p w14:paraId="385617DA" w14:textId="297A3827" w:rsidR="00FB70D0" w:rsidRPr="007D507F" w:rsidRDefault="00FB70D0" w:rsidP="00FB70D0">
      <w:pPr>
        <w:shd w:val="clear" w:color="auto" w:fill="FFFFFF"/>
        <w:rPr>
          <w:rFonts w:ascii="Times New Roman" w:hAnsi="Times New Roman" w:cs="Times New Roman"/>
          <w:spacing w:val="-4"/>
        </w:rPr>
      </w:pPr>
      <w:r w:rsidRPr="007D507F">
        <w:rPr>
          <w:rFonts w:ascii="Times New Roman" w:hAnsi="Times New Roman" w:cs="Times New Roman"/>
          <w:spacing w:val="-4"/>
        </w:rPr>
        <w:t>JEL</w:t>
      </w:r>
      <w:r w:rsidR="00812129" w:rsidRPr="007D507F">
        <w:rPr>
          <w:rFonts w:ascii="Times New Roman" w:hAnsi="Times New Roman" w:cs="Times New Roman"/>
          <w:spacing w:val="-4"/>
          <w:lang w:val="tr-TR"/>
        </w:rPr>
        <w:t xml:space="preserve"> Kodları</w:t>
      </w:r>
      <w:r w:rsidRPr="007D507F">
        <w:rPr>
          <w:rFonts w:ascii="Times New Roman" w:hAnsi="Times New Roman" w:cs="Times New Roman"/>
          <w:spacing w:val="-4"/>
        </w:rPr>
        <w:t xml:space="preserve">: I11, I13, I18  </w:t>
      </w:r>
    </w:p>
    <w:p w14:paraId="59DDE966" w14:textId="77777777" w:rsidR="00E51141" w:rsidRPr="007F3F6C" w:rsidRDefault="007256F7" w:rsidP="005E4A12">
      <w:pPr>
        <w:pStyle w:val="1"/>
        <w:numPr>
          <w:ilvl w:val="0"/>
          <w:numId w:val="11"/>
        </w:numPr>
        <w:ind w:left="567" w:hanging="283"/>
        <w:rPr>
          <w:rFonts w:cs="Times New Roman"/>
          <w:szCs w:val="24"/>
          <w:lang w:val="ru-RU"/>
        </w:rPr>
      </w:pPr>
      <w:r>
        <w:rPr>
          <w:rFonts w:cs="Times New Roman"/>
          <w:szCs w:val="24"/>
          <w:lang w:val="tr-TR"/>
        </w:rPr>
        <w:t xml:space="preserve">Giriş </w:t>
      </w:r>
    </w:p>
    <w:p w14:paraId="314FDAC7" w14:textId="77777777" w:rsidR="00A17A7D" w:rsidRPr="007D507F" w:rsidRDefault="00A17A7D" w:rsidP="005E4A12">
      <w:pPr>
        <w:pStyle w:val="a7"/>
        <w:shd w:val="clear" w:color="auto" w:fill="FFFFFF"/>
        <w:spacing w:before="0" w:beforeAutospacing="0" w:after="0" w:afterAutospacing="0"/>
        <w:ind w:firstLine="567"/>
        <w:jc w:val="both"/>
        <w:rPr>
          <w:rFonts w:ascii="Times New Roman" w:hAnsi="Times New Roman" w:cs="Times New Roman"/>
          <w:lang w:val="tr-TR"/>
        </w:rPr>
      </w:pPr>
      <w:r w:rsidRPr="007D507F">
        <w:rPr>
          <w:rFonts w:ascii="Times New Roman" w:hAnsi="Times New Roman" w:cs="Times New Roman"/>
          <w:lang w:val="tr-TR"/>
        </w:rPr>
        <w:t>Sağlık sektörü, gezegeni kasıp kavuran koronavirüs pandemisinin sınavını geçemedi. Pandemiden çok önce büyüyen</w:t>
      </w:r>
      <w:r w:rsidR="00FB1CE3" w:rsidRPr="007D507F">
        <w:rPr>
          <w:rFonts w:ascii="Times New Roman" w:hAnsi="Times New Roman" w:cs="Times New Roman"/>
          <w:lang w:val="tr-TR"/>
        </w:rPr>
        <w:t xml:space="preserve"> </w:t>
      </w:r>
      <w:r w:rsidRPr="007D507F">
        <w:rPr>
          <w:rFonts w:ascii="Times New Roman" w:hAnsi="Times New Roman" w:cs="Times New Roman"/>
          <w:lang w:val="tr-TR"/>
        </w:rPr>
        <w:t>personel</w:t>
      </w:r>
      <w:r w:rsidR="001E60AF" w:rsidRPr="007D507F">
        <w:rPr>
          <w:rFonts w:ascii="Times New Roman" w:hAnsi="Times New Roman" w:cs="Times New Roman"/>
          <w:lang w:val="tr-TR"/>
        </w:rPr>
        <w:t xml:space="preserve"> ve</w:t>
      </w:r>
      <w:r w:rsidRPr="007D507F">
        <w:rPr>
          <w:rFonts w:ascii="Times New Roman" w:hAnsi="Times New Roman" w:cs="Times New Roman"/>
          <w:lang w:val="tr-TR"/>
        </w:rPr>
        <w:t xml:space="preserve"> altyapı sorunları, sağlık hizmetl</w:t>
      </w:r>
      <w:r w:rsidR="00FB1CE3" w:rsidRPr="007D507F">
        <w:rPr>
          <w:rFonts w:ascii="Times New Roman" w:hAnsi="Times New Roman" w:cs="Times New Roman"/>
          <w:lang w:val="tr-TR"/>
        </w:rPr>
        <w:t xml:space="preserve">erinin güvenliği ve kalitesinin </w:t>
      </w:r>
      <w:r w:rsidRPr="007D507F">
        <w:rPr>
          <w:rFonts w:ascii="Times New Roman" w:hAnsi="Times New Roman" w:cs="Times New Roman"/>
          <w:lang w:val="tr-TR"/>
        </w:rPr>
        <w:t>sağlanması gibi birçok sorun ağırlaş</w:t>
      </w:r>
      <w:r w:rsidR="00667EF7" w:rsidRPr="007D507F">
        <w:rPr>
          <w:rFonts w:ascii="Times New Roman" w:hAnsi="Times New Roman" w:cs="Times New Roman"/>
          <w:lang w:val="tr-TR"/>
        </w:rPr>
        <w:t>tı. Doktorlar arasında COVID-19’</w:t>
      </w:r>
      <w:r w:rsidRPr="007D507F">
        <w:rPr>
          <w:rFonts w:ascii="Times New Roman" w:hAnsi="Times New Roman" w:cs="Times New Roman"/>
          <w:lang w:val="tr-TR"/>
        </w:rPr>
        <w:t>dan yüksek mortalite ve morbidite olarak ifade edilen gerçek durum, sağlık sektöründe ciddi sistemik sorunlara işaret etmiştir. Her şeyden önce, endüstri için mali kaynakların eksikliği ve hem ayakta hem de yatarak tedavi düzeyinde tıbbi bakımın etkin yönetimi ve organizasyonunun eksikliği ile ilgilidir.</w:t>
      </w:r>
    </w:p>
    <w:p w14:paraId="5F88CD46" w14:textId="2CEE67F9" w:rsidR="00A17A7D" w:rsidRPr="007D507F" w:rsidRDefault="007A4293" w:rsidP="005E4A12">
      <w:pPr>
        <w:shd w:val="clear" w:color="auto" w:fill="FFFFFF"/>
        <w:spacing w:after="0" w:line="240" w:lineRule="auto"/>
        <w:ind w:firstLine="567"/>
        <w:jc w:val="both"/>
        <w:rPr>
          <w:rFonts w:ascii="Times New Roman" w:eastAsia="Times New Roman" w:hAnsi="Times New Roman" w:cs="Times New Roman"/>
          <w:sz w:val="24"/>
          <w:szCs w:val="24"/>
          <w:lang w:val="tr-TR" w:eastAsia="ru-RU"/>
        </w:rPr>
      </w:pPr>
      <w:r w:rsidRPr="007D507F">
        <w:rPr>
          <w:rFonts w:ascii="Times New Roman" w:eastAsia="Times New Roman" w:hAnsi="Times New Roman" w:cs="Times New Roman"/>
          <w:sz w:val="24"/>
          <w:szCs w:val="24"/>
          <w:lang w:val="tr-TR" w:eastAsia="ru-RU"/>
        </w:rPr>
        <w:t>Piya</w:t>
      </w:r>
      <w:r w:rsidR="000C60C3" w:rsidRPr="007D507F">
        <w:rPr>
          <w:rFonts w:ascii="Times New Roman" w:eastAsia="Times New Roman" w:hAnsi="Times New Roman" w:cs="Times New Roman"/>
          <w:sz w:val="24"/>
          <w:szCs w:val="24"/>
          <w:lang w:val="tr-TR" w:eastAsia="ru-RU"/>
        </w:rPr>
        <w:t xml:space="preserve">sa ekonomisine geçiş sürecinde, </w:t>
      </w:r>
      <w:r w:rsidR="00A17A7D" w:rsidRPr="007D507F">
        <w:rPr>
          <w:rFonts w:ascii="Times New Roman" w:eastAsia="Times New Roman" w:hAnsi="Times New Roman" w:cs="Times New Roman"/>
          <w:sz w:val="24"/>
          <w:szCs w:val="24"/>
          <w:lang w:val="tr-TR" w:eastAsia="ru-RU"/>
        </w:rPr>
        <w:t>Kırgızistan</w:t>
      </w:r>
      <w:r w:rsidRPr="007D507F">
        <w:rPr>
          <w:rFonts w:ascii="Times New Roman" w:eastAsia="Times New Roman" w:hAnsi="Times New Roman" w:cs="Times New Roman"/>
          <w:sz w:val="24"/>
          <w:szCs w:val="24"/>
          <w:lang w:val="tr-TR" w:eastAsia="ru-RU"/>
        </w:rPr>
        <w:t xml:space="preserve"> ile </w:t>
      </w:r>
      <w:r w:rsidR="00D853C5" w:rsidRPr="007D507F">
        <w:rPr>
          <w:rFonts w:ascii="Times New Roman" w:eastAsia="Times New Roman" w:hAnsi="Times New Roman" w:cs="Times New Roman"/>
          <w:sz w:val="24"/>
          <w:szCs w:val="24"/>
          <w:lang w:val="tr-TR" w:eastAsia="ru-RU"/>
        </w:rPr>
        <w:t xml:space="preserve">ilgili yaptıkları çalışmalarda, </w:t>
      </w:r>
      <w:r w:rsidR="0097583C" w:rsidRPr="007D507F">
        <w:rPr>
          <w:rFonts w:ascii="Times New Roman" w:eastAsia="Times New Roman" w:hAnsi="Times New Roman" w:cs="Times New Roman"/>
          <w:sz w:val="24"/>
          <w:szCs w:val="24"/>
          <w:lang w:val="tr-TR" w:eastAsia="ru-RU"/>
        </w:rPr>
        <w:t xml:space="preserve">bu ülkenin </w:t>
      </w:r>
      <w:r w:rsidRPr="007D507F">
        <w:rPr>
          <w:rFonts w:ascii="Times New Roman" w:eastAsia="Times New Roman" w:hAnsi="Times New Roman" w:cs="Times New Roman"/>
          <w:sz w:val="24"/>
          <w:szCs w:val="24"/>
          <w:lang w:val="tr-TR" w:eastAsia="ru-RU"/>
        </w:rPr>
        <w:t>sağlık sistemi</w:t>
      </w:r>
      <w:r w:rsidR="0097583C" w:rsidRPr="007D507F">
        <w:rPr>
          <w:rFonts w:ascii="Times New Roman" w:eastAsia="Times New Roman" w:hAnsi="Times New Roman" w:cs="Times New Roman"/>
          <w:sz w:val="24"/>
          <w:szCs w:val="24"/>
          <w:lang w:val="tr-TR" w:eastAsia="ru-RU"/>
        </w:rPr>
        <w:t>nin finansmanı</w:t>
      </w:r>
      <w:r w:rsidRPr="007D507F">
        <w:rPr>
          <w:rFonts w:ascii="Times New Roman" w:eastAsia="Times New Roman" w:hAnsi="Times New Roman" w:cs="Times New Roman"/>
          <w:sz w:val="24"/>
          <w:szCs w:val="24"/>
          <w:lang w:val="tr-TR" w:eastAsia="ru-RU"/>
        </w:rPr>
        <w:t xml:space="preserve"> ile ilgili olarak bilimsel yo</w:t>
      </w:r>
      <w:r w:rsidR="000C60C3" w:rsidRPr="007D507F">
        <w:rPr>
          <w:rFonts w:ascii="Times New Roman" w:eastAsia="Times New Roman" w:hAnsi="Times New Roman" w:cs="Times New Roman"/>
          <w:sz w:val="24"/>
          <w:szCs w:val="24"/>
          <w:lang w:val="tr-TR" w:eastAsia="ru-RU"/>
        </w:rPr>
        <w:t>r</w:t>
      </w:r>
      <w:r w:rsidR="00D853C5" w:rsidRPr="007D507F">
        <w:rPr>
          <w:rFonts w:ascii="Times New Roman" w:eastAsia="Times New Roman" w:hAnsi="Times New Roman" w:cs="Times New Roman"/>
          <w:sz w:val="24"/>
          <w:szCs w:val="24"/>
          <w:lang w:val="tr-TR" w:eastAsia="ru-RU"/>
        </w:rPr>
        <w:t>u</w:t>
      </w:r>
      <w:r w:rsidRPr="007D507F">
        <w:rPr>
          <w:rFonts w:ascii="Times New Roman" w:eastAsia="Times New Roman" w:hAnsi="Times New Roman" w:cs="Times New Roman"/>
          <w:sz w:val="24"/>
          <w:szCs w:val="24"/>
          <w:lang w:val="tr-TR" w:eastAsia="ru-RU"/>
        </w:rPr>
        <w:t xml:space="preserve">mları, </w:t>
      </w:r>
      <w:r w:rsidR="00A17A7D" w:rsidRPr="007D507F">
        <w:rPr>
          <w:rFonts w:ascii="Times New Roman" w:eastAsia="Times New Roman" w:hAnsi="Times New Roman" w:cs="Times New Roman"/>
          <w:sz w:val="24"/>
          <w:szCs w:val="24"/>
          <w:lang w:val="tr-TR" w:eastAsia="ru-RU"/>
        </w:rPr>
        <w:t>Karatay</w:t>
      </w:r>
      <w:r w:rsidR="002022D3">
        <w:rPr>
          <w:rFonts w:ascii="Times New Roman" w:eastAsia="Times New Roman" w:hAnsi="Times New Roman" w:cs="Times New Roman"/>
          <w:sz w:val="24"/>
          <w:szCs w:val="24"/>
          <w:lang w:val="tr-TR" w:eastAsia="ru-RU"/>
        </w:rPr>
        <w:t>ev</w:t>
      </w:r>
      <w:r w:rsidR="00C205B4">
        <w:rPr>
          <w:rFonts w:ascii="Times New Roman" w:eastAsia="Times New Roman" w:hAnsi="Times New Roman" w:cs="Times New Roman"/>
          <w:sz w:val="24"/>
          <w:szCs w:val="24"/>
          <w:lang w:val="tr-TR" w:eastAsia="ru-RU"/>
        </w:rPr>
        <w:t xml:space="preserve"> (2017)</w:t>
      </w:r>
      <w:r w:rsidR="00A17A7D" w:rsidRPr="007D507F">
        <w:rPr>
          <w:rFonts w:ascii="Times New Roman" w:eastAsia="Times New Roman" w:hAnsi="Times New Roman" w:cs="Times New Roman"/>
          <w:sz w:val="24"/>
          <w:szCs w:val="24"/>
          <w:lang w:val="tr-TR" w:eastAsia="ru-RU"/>
        </w:rPr>
        <w:t>, Meimanaliev (2015) vermişlerdir.</w:t>
      </w:r>
    </w:p>
    <w:p w14:paraId="1E37CD20" w14:textId="5F22AF5B" w:rsidR="00A17A7D" w:rsidRPr="007D507F" w:rsidRDefault="00A17A7D" w:rsidP="005E4A12">
      <w:pPr>
        <w:shd w:val="clear" w:color="auto" w:fill="FFFFFF"/>
        <w:spacing w:after="0" w:line="240" w:lineRule="auto"/>
        <w:ind w:firstLine="567"/>
        <w:jc w:val="both"/>
        <w:rPr>
          <w:rFonts w:ascii="Times New Roman" w:eastAsia="Times New Roman" w:hAnsi="Times New Roman" w:cs="Times New Roman"/>
          <w:sz w:val="24"/>
          <w:szCs w:val="24"/>
          <w:lang w:val="tr-TR" w:eastAsia="ru-RU"/>
        </w:rPr>
      </w:pPr>
      <w:r w:rsidRPr="007D507F">
        <w:rPr>
          <w:rFonts w:ascii="Times New Roman" w:eastAsia="Times New Roman" w:hAnsi="Times New Roman" w:cs="Times New Roman"/>
          <w:sz w:val="24"/>
          <w:szCs w:val="24"/>
          <w:lang w:val="tr-TR" w:eastAsia="ru-RU"/>
        </w:rPr>
        <w:t>Reform bağ</w:t>
      </w:r>
      <w:r w:rsidR="00F338C2" w:rsidRPr="007D507F">
        <w:rPr>
          <w:rFonts w:ascii="Times New Roman" w:eastAsia="Times New Roman" w:hAnsi="Times New Roman" w:cs="Times New Roman"/>
          <w:sz w:val="24"/>
          <w:szCs w:val="24"/>
          <w:lang w:val="tr-TR" w:eastAsia="ru-RU"/>
        </w:rPr>
        <w:t xml:space="preserve">lamında Kırgızistan nüfusu için </w:t>
      </w:r>
      <w:r w:rsidR="001E60AF" w:rsidRPr="007D507F">
        <w:rPr>
          <w:rFonts w:ascii="Times New Roman" w:eastAsia="Times New Roman" w:hAnsi="Times New Roman" w:cs="Times New Roman"/>
          <w:sz w:val="24"/>
          <w:szCs w:val="24"/>
          <w:lang w:val="tr-TR" w:eastAsia="ru-RU"/>
        </w:rPr>
        <w:t>yataklı</w:t>
      </w:r>
      <w:r w:rsidRPr="007D507F">
        <w:rPr>
          <w:rFonts w:ascii="Times New Roman" w:eastAsia="Times New Roman" w:hAnsi="Times New Roman" w:cs="Times New Roman"/>
          <w:sz w:val="24"/>
          <w:szCs w:val="24"/>
          <w:lang w:val="tr-TR" w:eastAsia="ru-RU"/>
        </w:rPr>
        <w:t xml:space="preserve"> tıbbi ba</w:t>
      </w:r>
      <w:r w:rsidR="003957D2" w:rsidRPr="007D507F">
        <w:rPr>
          <w:rFonts w:ascii="Times New Roman" w:eastAsia="Times New Roman" w:hAnsi="Times New Roman" w:cs="Times New Roman"/>
          <w:sz w:val="24"/>
          <w:szCs w:val="24"/>
          <w:lang w:val="tr-TR" w:eastAsia="ru-RU"/>
        </w:rPr>
        <w:t>kım yönetimi</w:t>
      </w:r>
      <w:r w:rsidR="001E60AF" w:rsidRPr="007D507F">
        <w:rPr>
          <w:rFonts w:ascii="Times New Roman" w:eastAsia="Times New Roman" w:hAnsi="Times New Roman" w:cs="Times New Roman"/>
          <w:sz w:val="24"/>
          <w:szCs w:val="24"/>
          <w:lang w:val="tr-TR" w:eastAsia="ru-RU"/>
        </w:rPr>
        <w:t>ni</w:t>
      </w:r>
      <w:r w:rsidR="003957D2" w:rsidRPr="007D507F">
        <w:rPr>
          <w:rFonts w:ascii="Times New Roman" w:eastAsia="Times New Roman" w:hAnsi="Times New Roman" w:cs="Times New Roman"/>
          <w:sz w:val="24"/>
          <w:szCs w:val="24"/>
          <w:lang w:val="tr-TR" w:eastAsia="ru-RU"/>
        </w:rPr>
        <w:t xml:space="preserve"> Toktomatov (</w:t>
      </w:r>
      <w:r w:rsidRPr="007D507F">
        <w:rPr>
          <w:rFonts w:ascii="Times New Roman" w:eastAsia="Times New Roman" w:hAnsi="Times New Roman" w:cs="Times New Roman"/>
          <w:sz w:val="24"/>
          <w:szCs w:val="24"/>
          <w:lang w:val="tr-TR" w:eastAsia="ru-RU"/>
        </w:rPr>
        <w:t>2006</w:t>
      </w:r>
      <w:r w:rsidR="003957D2" w:rsidRPr="007D507F">
        <w:rPr>
          <w:rFonts w:ascii="Times New Roman" w:eastAsia="Times New Roman" w:hAnsi="Times New Roman" w:cs="Times New Roman"/>
          <w:sz w:val="24"/>
          <w:szCs w:val="24"/>
          <w:lang w:val="tr-TR" w:eastAsia="ru-RU"/>
        </w:rPr>
        <w:t xml:space="preserve">) açıklamıştır. </w:t>
      </w:r>
      <w:r w:rsidRPr="007D507F">
        <w:rPr>
          <w:rFonts w:ascii="Times New Roman" w:eastAsia="Times New Roman" w:hAnsi="Times New Roman" w:cs="Times New Roman"/>
          <w:sz w:val="24"/>
          <w:szCs w:val="24"/>
          <w:lang w:val="tr-TR" w:eastAsia="ru-RU"/>
        </w:rPr>
        <w:t>Sağlık hizmetlerini</w:t>
      </w:r>
      <w:r w:rsidR="003957D2" w:rsidRPr="007D507F">
        <w:rPr>
          <w:rFonts w:ascii="Times New Roman" w:eastAsia="Times New Roman" w:hAnsi="Times New Roman" w:cs="Times New Roman"/>
          <w:sz w:val="24"/>
          <w:szCs w:val="24"/>
          <w:lang w:val="tr-TR" w:eastAsia="ru-RU"/>
        </w:rPr>
        <w:t>n ekonomik sorunları</w:t>
      </w:r>
      <w:r w:rsidR="001E60AF" w:rsidRPr="007D507F">
        <w:rPr>
          <w:rFonts w:ascii="Times New Roman" w:eastAsia="Times New Roman" w:hAnsi="Times New Roman" w:cs="Times New Roman"/>
          <w:sz w:val="24"/>
          <w:szCs w:val="24"/>
          <w:lang w:val="tr-TR" w:eastAsia="ru-RU"/>
        </w:rPr>
        <w:t>,</w:t>
      </w:r>
      <w:r w:rsidR="003957D2" w:rsidRPr="007D507F">
        <w:rPr>
          <w:rFonts w:ascii="Times New Roman" w:eastAsia="Times New Roman" w:hAnsi="Times New Roman" w:cs="Times New Roman"/>
          <w:sz w:val="24"/>
          <w:szCs w:val="24"/>
          <w:lang w:val="tr-TR" w:eastAsia="ru-RU"/>
        </w:rPr>
        <w:t xml:space="preserve"> </w:t>
      </w:r>
      <w:r w:rsidRPr="007D507F">
        <w:rPr>
          <w:rFonts w:ascii="Times New Roman" w:eastAsia="Times New Roman" w:hAnsi="Times New Roman" w:cs="Times New Roman"/>
          <w:sz w:val="24"/>
          <w:szCs w:val="24"/>
          <w:lang w:val="tr-TR" w:eastAsia="ru-RU"/>
        </w:rPr>
        <w:t xml:space="preserve">Asanalieva </w:t>
      </w:r>
      <w:r w:rsidR="003957D2" w:rsidRPr="007D507F">
        <w:rPr>
          <w:rFonts w:ascii="Times New Roman" w:eastAsia="Times New Roman" w:hAnsi="Times New Roman" w:cs="Times New Roman"/>
          <w:sz w:val="24"/>
          <w:szCs w:val="24"/>
          <w:lang w:val="tr-TR" w:eastAsia="ru-RU"/>
        </w:rPr>
        <w:t>(2012)</w:t>
      </w:r>
      <w:r w:rsidR="001E60AF" w:rsidRPr="007D507F">
        <w:rPr>
          <w:rFonts w:ascii="Times New Roman" w:eastAsia="Times New Roman" w:hAnsi="Times New Roman" w:cs="Times New Roman"/>
          <w:sz w:val="24"/>
          <w:szCs w:val="24"/>
          <w:lang w:val="tr-TR" w:eastAsia="ru-RU"/>
        </w:rPr>
        <w:t xml:space="preserve"> tarafından yazılan</w:t>
      </w:r>
      <w:r w:rsidR="003957D2" w:rsidRPr="007D507F">
        <w:rPr>
          <w:rFonts w:ascii="Times New Roman" w:eastAsia="Times New Roman" w:hAnsi="Times New Roman" w:cs="Times New Roman"/>
          <w:sz w:val="24"/>
          <w:szCs w:val="24"/>
          <w:lang w:val="tr-TR" w:eastAsia="ru-RU"/>
        </w:rPr>
        <w:t xml:space="preserve"> </w:t>
      </w:r>
      <w:r w:rsidR="00667EF7" w:rsidRPr="007D507F">
        <w:rPr>
          <w:rFonts w:ascii="Times New Roman" w:eastAsia="Times New Roman" w:hAnsi="Times New Roman" w:cs="Times New Roman"/>
          <w:sz w:val="24"/>
          <w:szCs w:val="24"/>
          <w:lang w:val="tr-TR" w:eastAsia="ru-RU"/>
        </w:rPr>
        <w:t>“</w:t>
      </w:r>
      <w:r w:rsidRPr="007D507F">
        <w:rPr>
          <w:rFonts w:ascii="Times New Roman" w:eastAsia="Times New Roman" w:hAnsi="Times New Roman" w:cs="Times New Roman"/>
          <w:sz w:val="24"/>
          <w:szCs w:val="24"/>
          <w:lang w:val="tr-TR" w:eastAsia="ru-RU"/>
        </w:rPr>
        <w:t>Geçiş ekonomisinde sosyal hizmet alan</w:t>
      </w:r>
      <w:r w:rsidR="001E60AF" w:rsidRPr="007D507F">
        <w:rPr>
          <w:rFonts w:ascii="Times New Roman" w:eastAsia="Times New Roman" w:hAnsi="Times New Roman" w:cs="Times New Roman"/>
          <w:sz w:val="24"/>
          <w:szCs w:val="24"/>
          <w:lang w:val="tr-TR" w:eastAsia="ru-RU"/>
        </w:rPr>
        <w:t>lar</w:t>
      </w:r>
      <w:r w:rsidR="00667EF7" w:rsidRPr="007D507F">
        <w:rPr>
          <w:rFonts w:ascii="Times New Roman" w:eastAsia="Times New Roman" w:hAnsi="Times New Roman" w:cs="Times New Roman"/>
          <w:sz w:val="24"/>
          <w:szCs w:val="24"/>
          <w:lang w:val="tr-TR" w:eastAsia="ru-RU"/>
        </w:rPr>
        <w:t>ı: Kırgız Cumhuriyeti örneği”</w:t>
      </w:r>
      <w:r w:rsidR="003957D2" w:rsidRPr="007D507F">
        <w:rPr>
          <w:rFonts w:ascii="Times New Roman" w:eastAsia="Times New Roman" w:hAnsi="Times New Roman" w:cs="Times New Roman"/>
          <w:sz w:val="24"/>
          <w:szCs w:val="24"/>
          <w:lang w:val="tr-TR" w:eastAsia="ru-RU"/>
        </w:rPr>
        <w:t xml:space="preserve"> doktora çalışmasında</w:t>
      </w:r>
      <w:r w:rsidRPr="007D507F">
        <w:rPr>
          <w:rFonts w:ascii="Times New Roman" w:eastAsia="Times New Roman" w:hAnsi="Times New Roman" w:cs="Times New Roman"/>
          <w:sz w:val="24"/>
          <w:szCs w:val="24"/>
          <w:lang w:val="tr-TR" w:eastAsia="ru-RU"/>
        </w:rPr>
        <w:t>; Asizbaeva</w:t>
      </w:r>
      <w:r w:rsidR="003957D2" w:rsidRPr="007D507F">
        <w:rPr>
          <w:rFonts w:ascii="Times New Roman" w:eastAsia="Times New Roman" w:hAnsi="Times New Roman" w:cs="Times New Roman"/>
          <w:sz w:val="24"/>
          <w:szCs w:val="24"/>
          <w:lang w:val="tr-TR" w:eastAsia="ru-RU"/>
        </w:rPr>
        <w:t xml:space="preserve"> (2015)</w:t>
      </w:r>
      <w:r w:rsidRPr="007D507F">
        <w:rPr>
          <w:rFonts w:ascii="Times New Roman" w:eastAsia="Times New Roman" w:hAnsi="Times New Roman" w:cs="Times New Roman"/>
          <w:sz w:val="24"/>
          <w:szCs w:val="24"/>
          <w:lang w:val="tr-TR" w:eastAsia="ru-RU"/>
        </w:rPr>
        <w:t xml:space="preserve"> </w:t>
      </w:r>
      <w:r w:rsidR="00667EF7" w:rsidRPr="007D507F">
        <w:rPr>
          <w:rFonts w:ascii="Times New Roman" w:eastAsia="Times New Roman" w:hAnsi="Times New Roman" w:cs="Times New Roman"/>
          <w:sz w:val="24"/>
          <w:szCs w:val="24"/>
          <w:lang w:val="tr-TR" w:eastAsia="ru-RU"/>
        </w:rPr>
        <w:t>“</w:t>
      </w:r>
      <w:r w:rsidRPr="007D507F">
        <w:rPr>
          <w:rFonts w:ascii="Times New Roman" w:eastAsia="Times New Roman" w:hAnsi="Times New Roman" w:cs="Times New Roman"/>
          <w:sz w:val="24"/>
          <w:szCs w:val="24"/>
          <w:lang w:val="tr-TR" w:eastAsia="ru-RU"/>
        </w:rPr>
        <w:t xml:space="preserve">Göstergesel planlamaya dayalı sosyal alanın geliştirilmesine </w:t>
      </w:r>
      <w:r w:rsidR="00FD4AB8" w:rsidRPr="007D507F">
        <w:rPr>
          <w:rFonts w:ascii="Times New Roman" w:eastAsia="Times New Roman" w:hAnsi="Times New Roman" w:cs="Times New Roman"/>
          <w:sz w:val="24"/>
          <w:szCs w:val="24"/>
          <w:lang w:val="tr-TR" w:eastAsia="ru-RU"/>
        </w:rPr>
        <w:t xml:space="preserve">yönelik </w:t>
      </w:r>
      <w:r w:rsidR="00FB1CE3" w:rsidRPr="007D507F">
        <w:rPr>
          <w:rFonts w:ascii="Times New Roman" w:eastAsia="Times New Roman" w:hAnsi="Times New Roman" w:cs="Times New Roman"/>
          <w:sz w:val="24"/>
          <w:szCs w:val="24"/>
          <w:lang w:val="tr-TR" w:eastAsia="ru-RU"/>
        </w:rPr>
        <w:t>düzenleme</w:t>
      </w:r>
      <w:r w:rsidR="00667EF7" w:rsidRPr="007D507F">
        <w:rPr>
          <w:rFonts w:ascii="Times New Roman" w:eastAsia="Times New Roman" w:hAnsi="Times New Roman" w:cs="Times New Roman"/>
          <w:sz w:val="24"/>
          <w:szCs w:val="24"/>
          <w:lang w:val="tr-TR" w:eastAsia="ru-RU"/>
        </w:rPr>
        <w:t>”</w:t>
      </w:r>
      <w:r w:rsidR="001E60AF" w:rsidRPr="007D507F">
        <w:rPr>
          <w:rFonts w:ascii="Times New Roman" w:eastAsia="Times New Roman" w:hAnsi="Times New Roman" w:cs="Times New Roman"/>
          <w:sz w:val="24"/>
          <w:szCs w:val="24"/>
          <w:lang w:val="tr-TR" w:eastAsia="ru-RU"/>
        </w:rPr>
        <w:t xml:space="preserve"> çalışmasında</w:t>
      </w:r>
      <w:r w:rsidR="008E3514" w:rsidRPr="007D507F">
        <w:rPr>
          <w:rFonts w:ascii="Times New Roman" w:eastAsia="Times New Roman" w:hAnsi="Times New Roman" w:cs="Times New Roman"/>
          <w:sz w:val="24"/>
          <w:szCs w:val="24"/>
          <w:lang w:val="tr-TR" w:eastAsia="ru-RU"/>
        </w:rPr>
        <w:t>;</w:t>
      </w:r>
      <w:r w:rsidRPr="007D507F">
        <w:rPr>
          <w:rFonts w:ascii="Times New Roman" w:eastAsia="Times New Roman" w:hAnsi="Times New Roman" w:cs="Times New Roman"/>
          <w:sz w:val="24"/>
          <w:szCs w:val="24"/>
          <w:lang w:val="tr-TR" w:eastAsia="ru-RU"/>
        </w:rPr>
        <w:t xml:space="preserve"> </w:t>
      </w:r>
      <w:r w:rsidR="001E60AF" w:rsidRPr="007D507F">
        <w:rPr>
          <w:rFonts w:ascii="Times New Roman" w:eastAsia="Times New Roman" w:hAnsi="Times New Roman" w:cs="Times New Roman"/>
          <w:sz w:val="24"/>
          <w:szCs w:val="24"/>
          <w:lang w:val="tr-TR" w:eastAsia="ru-RU"/>
        </w:rPr>
        <w:t>açıkla</w:t>
      </w:r>
      <w:r w:rsidR="003957D2" w:rsidRPr="007D507F">
        <w:rPr>
          <w:rFonts w:ascii="Times New Roman" w:eastAsia="Times New Roman" w:hAnsi="Times New Roman" w:cs="Times New Roman"/>
          <w:sz w:val="24"/>
          <w:szCs w:val="24"/>
          <w:lang w:val="tr-TR" w:eastAsia="ru-RU"/>
        </w:rPr>
        <w:t>mışlar</w:t>
      </w:r>
      <w:r w:rsidR="001E60AF" w:rsidRPr="007D507F">
        <w:rPr>
          <w:rFonts w:ascii="Times New Roman" w:eastAsia="Times New Roman" w:hAnsi="Times New Roman" w:cs="Times New Roman"/>
          <w:sz w:val="24"/>
          <w:szCs w:val="24"/>
          <w:lang w:val="tr-TR" w:eastAsia="ru-RU"/>
        </w:rPr>
        <w:t>dır</w:t>
      </w:r>
      <w:r w:rsidR="003957D2" w:rsidRPr="007D507F">
        <w:rPr>
          <w:rFonts w:ascii="Times New Roman" w:eastAsia="Times New Roman" w:hAnsi="Times New Roman" w:cs="Times New Roman"/>
          <w:sz w:val="24"/>
          <w:szCs w:val="24"/>
          <w:lang w:val="tr-TR" w:eastAsia="ru-RU"/>
        </w:rPr>
        <w:t xml:space="preserve">. </w:t>
      </w:r>
    </w:p>
    <w:p w14:paraId="5DC4FE2B" w14:textId="77777777" w:rsidR="00FD4AB8" w:rsidRPr="007D507F" w:rsidRDefault="00667EF7" w:rsidP="005E4A12">
      <w:pPr>
        <w:shd w:val="clear" w:color="auto" w:fill="FFFFFF"/>
        <w:spacing w:after="0" w:line="240" w:lineRule="auto"/>
        <w:ind w:firstLine="567"/>
        <w:jc w:val="both"/>
        <w:rPr>
          <w:rFonts w:ascii="Times New Roman" w:eastAsia="Times New Roman" w:hAnsi="Times New Roman" w:cs="Times New Roman"/>
          <w:sz w:val="24"/>
          <w:szCs w:val="24"/>
          <w:lang w:val="tr-TR" w:eastAsia="ru-RU"/>
        </w:rPr>
      </w:pPr>
      <w:r w:rsidRPr="007D507F">
        <w:rPr>
          <w:rFonts w:ascii="Times New Roman" w:eastAsia="Times New Roman" w:hAnsi="Times New Roman" w:cs="Times New Roman"/>
          <w:sz w:val="24"/>
          <w:szCs w:val="24"/>
          <w:lang w:val="tr-TR" w:eastAsia="ru-RU"/>
        </w:rPr>
        <w:t>Kırgızistan’</w:t>
      </w:r>
      <w:r w:rsidR="00FD4AB8" w:rsidRPr="007D507F">
        <w:rPr>
          <w:rFonts w:ascii="Times New Roman" w:eastAsia="Times New Roman" w:hAnsi="Times New Roman" w:cs="Times New Roman"/>
          <w:sz w:val="24"/>
          <w:szCs w:val="24"/>
          <w:lang w:val="tr-TR" w:eastAsia="ru-RU"/>
        </w:rPr>
        <w:t xml:space="preserve">ın sağlık sistemini </w:t>
      </w:r>
      <w:r w:rsidR="00F338C2" w:rsidRPr="007D507F">
        <w:rPr>
          <w:rFonts w:ascii="Times New Roman" w:eastAsia="Times New Roman" w:hAnsi="Times New Roman" w:cs="Times New Roman"/>
          <w:sz w:val="24"/>
          <w:szCs w:val="24"/>
          <w:lang w:val="tr-TR" w:eastAsia="ru-RU"/>
        </w:rPr>
        <w:t xml:space="preserve">inceleyen bazı bilimsel </w:t>
      </w:r>
      <w:r w:rsidR="007B5D13" w:rsidRPr="007D507F">
        <w:rPr>
          <w:rFonts w:ascii="Times New Roman" w:eastAsia="Times New Roman" w:hAnsi="Times New Roman" w:cs="Times New Roman"/>
          <w:sz w:val="24"/>
          <w:szCs w:val="24"/>
          <w:lang w:val="tr-TR" w:eastAsia="ru-RU"/>
        </w:rPr>
        <w:t>projeler</w:t>
      </w:r>
      <w:r w:rsidR="00FD4AB8" w:rsidRPr="007D507F">
        <w:rPr>
          <w:rFonts w:ascii="Times New Roman" w:eastAsia="Times New Roman" w:hAnsi="Times New Roman" w:cs="Times New Roman"/>
          <w:sz w:val="24"/>
          <w:szCs w:val="24"/>
          <w:lang w:val="tr-TR" w:eastAsia="ru-RU"/>
        </w:rPr>
        <w:t xml:space="preserve"> [Dünya Sağlık Örgütü Avrupa Bölge Ofisi 2019], doğası gereği bilgilendirme amaçlıdır, gerçekleri ifade eder, ancak m</w:t>
      </w:r>
      <w:r w:rsidR="00F338C2" w:rsidRPr="007D507F">
        <w:rPr>
          <w:rFonts w:ascii="Times New Roman" w:eastAsia="Times New Roman" w:hAnsi="Times New Roman" w:cs="Times New Roman"/>
          <w:sz w:val="24"/>
          <w:szCs w:val="24"/>
          <w:lang w:val="tr-TR" w:eastAsia="ru-RU"/>
        </w:rPr>
        <w:t xml:space="preserve">ali </w:t>
      </w:r>
      <w:r w:rsidR="007B5D13" w:rsidRPr="007D507F">
        <w:rPr>
          <w:rFonts w:ascii="Times New Roman" w:eastAsia="Times New Roman" w:hAnsi="Times New Roman" w:cs="Times New Roman"/>
          <w:sz w:val="24"/>
          <w:szCs w:val="24"/>
          <w:lang w:val="tr-TR" w:eastAsia="ru-RU"/>
        </w:rPr>
        <w:t>imk</w:t>
      </w:r>
      <w:r w:rsidR="00F338C2" w:rsidRPr="007D507F">
        <w:rPr>
          <w:rFonts w:ascii="Times New Roman" w:eastAsia="Times New Roman" w:hAnsi="Times New Roman" w:cs="Times New Roman"/>
          <w:sz w:val="24"/>
          <w:szCs w:val="24"/>
          <w:lang w:val="tr-TR" w:eastAsia="ru-RU"/>
        </w:rPr>
        <w:t>â</w:t>
      </w:r>
      <w:r w:rsidR="007B5D13" w:rsidRPr="007D507F">
        <w:rPr>
          <w:rFonts w:ascii="Times New Roman" w:eastAsia="Times New Roman" w:hAnsi="Times New Roman" w:cs="Times New Roman"/>
          <w:sz w:val="24"/>
          <w:szCs w:val="24"/>
          <w:lang w:val="tr-TR" w:eastAsia="ru-RU"/>
        </w:rPr>
        <w:t>nların</w:t>
      </w:r>
      <w:r w:rsidR="00FD4AB8" w:rsidRPr="007D507F">
        <w:rPr>
          <w:rFonts w:ascii="Times New Roman" w:eastAsia="Times New Roman" w:hAnsi="Times New Roman" w:cs="Times New Roman"/>
          <w:sz w:val="24"/>
          <w:szCs w:val="24"/>
          <w:lang w:val="tr-TR" w:eastAsia="ru-RU"/>
        </w:rPr>
        <w:t xml:space="preserve"> kaynakları, bunların dağılımı ve kullanılması ile ilgili ekonomik analiz bulunmamaktadır. Bilim adamlarının söz konusu sorunun oldukça geniş bir yelpazesini kapsadığı gerçeğine rağmen, sağlık sisteminin finansmanı için yeni ilke ve yöntemler belirleme ihtiyacı şüphesizdir.</w:t>
      </w:r>
    </w:p>
    <w:p w14:paraId="6957A4A4" w14:textId="0BB1433D" w:rsidR="00FD4AB8" w:rsidRPr="007D507F" w:rsidRDefault="00FD4AB8" w:rsidP="005E4A12">
      <w:pPr>
        <w:pStyle w:val="a7"/>
        <w:shd w:val="clear" w:color="auto" w:fill="FFFFFF"/>
        <w:spacing w:before="0" w:beforeAutospacing="0" w:after="0" w:afterAutospacing="0"/>
        <w:ind w:firstLine="567"/>
        <w:jc w:val="both"/>
        <w:rPr>
          <w:rFonts w:ascii="Times New Roman" w:eastAsia="Times New Roman" w:hAnsi="Times New Roman" w:cs="Times New Roman"/>
          <w:lang w:val="tr-TR" w:eastAsia="ru-RU"/>
        </w:rPr>
      </w:pPr>
      <w:r w:rsidRPr="007D507F">
        <w:rPr>
          <w:rFonts w:ascii="Times New Roman" w:eastAsia="Times New Roman" w:hAnsi="Times New Roman" w:cs="Times New Roman"/>
          <w:lang w:val="tr-TR" w:eastAsia="ru-RU"/>
        </w:rPr>
        <w:t xml:space="preserve">Cumhuriyette tıp sektörünün finansmanına ilişkin </w:t>
      </w:r>
      <w:r w:rsidR="00667EF7" w:rsidRPr="007D507F">
        <w:rPr>
          <w:rFonts w:ascii="Times New Roman" w:eastAsia="Times New Roman" w:hAnsi="Times New Roman" w:cs="Times New Roman"/>
          <w:lang w:val="tr-TR" w:eastAsia="ru-RU"/>
        </w:rPr>
        <w:t xml:space="preserve">kalıntı </w:t>
      </w:r>
      <w:r w:rsidRPr="007D507F">
        <w:rPr>
          <w:rFonts w:ascii="Times New Roman" w:eastAsia="Times New Roman" w:hAnsi="Times New Roman" w:cs="Times New Roman"/>
          <w:lang w:val="tr-TR" w:eastAsia="ru-RU"/>
        </w:rPr>
        <w:t>ilkesi</w:t>
      </w:r>
      <w:r w:rsidR="00667EF7" w:rsidRPr="007D507F">
        <w:rPr>
          <w:rFonts w:ascii="Times New Roman" w:eastAsia="Times New Roman" w:hAnsi="Times New Roman" w:cs="Times New Roman"/>
          <w:lang w:val="tr-TR" w:eastAsia="ru-RU"/>
        </w:rPr>
        <w:t xml:space="preserve">nin </w:t>
      </w:r>
      <w:r w:rsidRPr="007D507F">
        <w:rPr>
          <w:rFonts w:ascii="Times New Roman" w:eastAsia="Times New Roman" w:hAnsi="Times New Roman" w:cs="Times New Roman"/>
          <w:lang w:val="tr-TR" w:eastAsia="ru-RU"/>
        </w:rPr>
        <w:t xml:space="preserve">varlığıyla durumu </w:t>
      </w:r>
      <w:r w:rsidR="00DF7BC9" w:rsidRPr="007D507F">
        <w:rPr>
          <w:rFonts w:ascii="Times New Roman" w:eastAsia="Times New Roman" w:hAnsi="Times New Roman" w:cs="Times New Roman"/>
          <w:lang w:val="tr-TR" w:eastAsia="ru-RU"/>
        </w:rPr>
        <w:t>daha da kötüleş</w:t>
      </w:r>
      <w:r w:rsidR="00F338C2" w:rsidRPr="007D507F">
        <w:rPr>
          <w:rFonts w:ascii="Times New Roman" w:eastAsia="Times New Roman" w:hAnsi="Times New Roman" w:cs="Times New Roman"/>
          <w:lang w:val="tr-TR" w:eastAsia="ru-RU"/>
        </w:rPr>
        <w:t>miştir</w:t>
      </w:r>
      <w:r w:rsidR="000C60C3" w:rsidRPr="007D507F">
        <w:rPr>
          <w:rFonts w:ascii="Times New Roman" w:eastAsia="Times New Roman" w:hAnsi="Times New Roman" w:cs="Times New Roman"/>
          <w:lang w:val="tr-TR" w:eastAsia="ru-RU"/>
        </w:rPr>
        <w:t xml:space="preserve">. </w:t>
      </w:r>
      <w:r w:rsidRPr="007D507F">
        <w:rPr>
          <w:rFonts w:ascii="Times New Roman" w:eastAsia="Times New Roman" w:hAnsi="Times New Roman" w:cs="Times New Roman"/>
          <w:lang w:val="tr-TR" w:eastAsia="ru-RU"/>
        </w:rPr>
        <w:t xml:space="preserve">Ek finansman kaynaklarına ve gelen fonların rasyonel kullanımına, bunların halk sağlığı kuruluşları </w:t>
      </w:r>
      <w:r w:rsidR="00F338C2" w:rsidRPr="007D507F">
        <w:rPr>
          <w:rFonts w:ascii="Times New Roman" w:eastAsia="Times New Roman" w:hAnsi="Times New Roman" w:cs="Times New Roman"/>
          <w:lang w:val="tr-TR" w:eastAsia="ru-RU"/>
        </w:rPr>
        <w:t xml:space="preserve">arasında </w:t>
      </w:r>
      <w:r w:rsidR="00DF7BC9" w:rsidRPr="007D507F">
        <w:rPr>
          <w:rFonts w:ascii="Times New Roman" w:eastAsia="Times New Roman" w:hAnsi="Times New Roman" w:cs="Times New Roman"/>
          <w:lang w:val="tr-TR" w:eastAsia="ru-RU"/>
        </w:rPr>
        <w:t>doğru</w:t>
      </w:r>
      <w:r w:rsidRPr="007D507F">
        <w:rPr>
          <w:rFonts w:ascii="Times New Roman" w:eastAsia="Times New Roman" w:hAnsi="Times New Roman" w:cs="Times New Roman"/>
          <w:lang w:val="tr-TR" w:eastAsia="ru-RU"/>
        </w:rPr>
        <w:t xml:space="preserve"> </w:t>
      </w:r>
      <w:r w:rsidR="00DF7BC9" w:rsidRPr="007D507F">
        <w:rPr>
          <w:rFonts w:ascii="Times New Roman" w:eastAsia="Times New Roman" w:hAnsi="Times New Roman" w:cs="Times New Roman"/>
          <w:lang w:val="tr-TR" w:eastAsia="ru-RU"/>
        </w:rPr>
        <w:t xml:space="preserve">bir </w:t>
      </w:r>
      <w:r w:rsidRPr="007D507F">
        <w:rPr>
          <w:rFonts w:ascii="Times New Roman" w:eastAsia="Times New Roman" w:hAnsi="Times New Roman" w:cs="Times New Roman"/>
          <w:lang w:val="tr-TR" w:eastAsia="ru-RU"/>
        </w:rPr>
        <w:t xml:space="preserve">şekilde dağıtılmasına ihtiyaç </w:t>
      </w:r>
      <w:r w:rsidR="007A4293" w:rsidRPr="007D507F">
        <w:rPr>
          <w:rFonts w:ascii="Times New Roman" w:eastAsia="Times New Roman" w:hAnsi="Times New Roman" w:cs="Times New Roman"/>
          <w:lang w:val="tr-TR" w:eastAsia="ru-RU"/>
        </w:rPr>
        <w:t>duyulmaktadır</w:t>
      </w:r>
      <w:r w:rsidRPr="007D507F">
        <w:rPr>
          <w:rFonts w:ascii="Times New Roman" w:eastAsia="Times New Roman" w:hAnsi="Times New Roman" w:cs="Times New Roman"/>
          <w:lang w:val="tr-TR" w:eastAsia="ru-RU"/>
        </w:rPr>
        <w:t>.</w:t>
      </w:r>
    </w:p>
    <w:p w14:paraId="11F9803D" w14:textId="34E4A753" w:rsidR="007E1198" w:rsidRPr="007D507F" w:rsidRDefault="007E1198" w:rsidP="005E4A12">
      <w:pPr>
        <w:spacing w:after="0" w:line="240" w:lineRule="auto"/>
        <w:ind w:firstLine="567"/>
        <w:jc w:val="both"/>
        <w:rPr>
          <w:rFonts w:ascii="Times New Roman" w:eastAsia="Arial Unicode MS" w:hAnsi="Times New Roman" w:cs="Times New Roman"/>
          <w:sz w:val="24"/>
          <w:szCs w:val="24"/>
          <w:lang w:val="tr-TR"/>
        </w:rPr>
      </w:pPr>
      <w:r w:rsidRPr="007D507F">
        <w:rPr>
          <w:rFonts w:ascii="Times New Roman" w:eastAsia="Arial Unicode MS" w:hAnsi="Times New Roman" w:cs="Times New Roman"/>
          <w:sz w:val="24"/>
          <w:szCs w:val="24"/>
          <w:lang w:val="tr-TR"/>
        </w:rPr>
        <w:t xml:space="preserve">Bu makalenin amacı, </w:t>
      </w:r>
      <w:r w:rsidR="008C7248" w:rsidRPr="007D507F">
        <w:rPr>
          <w:rFonts w:ascii="Times New Roman" w:eastAsia="Arial Unicode MS" w:hAnsi="Times New Roman" w:cs="Times New Roman"/>
          <w:sz w:val="24"/>
          <w:szCs w:val="24"/>
          <w:lang w:val="tr-TR"/>
        </w:rPr>
        <w:t xml:space="preserve">halk sağlığı kuruluşlarının </w:t>
      </w:r>
      <w:r w:rsidRPr="007D507F">
        <w:rPr>
          <w:rFonts w:ascii="Times New Roman" w:eastAsia="Arial Unicode MS" w:hAnsi="Times New Roman" w:cs="Times New Roman"/>
          <w:sz w:val="24"/>
          <w:szCs w:val="24"/>
          <w:lang w:val="tr-TR"/>
        </w:rPr>
        <w:t>finansal kaynaklarını değerlendirerek potansiyel ka</w:t>
      </w:r>
      <w:r w:rsidR="00D853C5" w:rsidRPr="007D507F">
        <w:rPr>
          <w:rFonts w:ascii="Times New Roman" w:eastAsia="Arial Unicode MS" w:hAnsi="Times New Roman" w:cs="Times New Roman"/>
          <w:sz w:val="24"/>
          <w:szCs w:val="24"/>
          <w:lang w:val="tr-TR"/>
        </w:rPr>
        <w:t>ynakların belirlenmesidir. Bu</w:t>
      </w:r>
      <w:r w:rsidRPr="007D507F">
        <w:rPr>
          <w:rFonts w:ascii="Times New Roman" w:eastAsia="Arial Unicode MS" w:hAnsi="Times New Roman" w:cs="Times New Roman"/>
          <w:sz w:val="24"/>
          <w:szCs w:val="24"/>
          <w:lang w:val="tr-TR"/>
        </w:rPr>
        <w:t xml:space="preserve"> kapsamında sağlık sisteminin bütçe finansmanına ilişkin mevcut uygulamayı, zorunlu sağlık sigortası çerçevesinde sektörün mali desteğini ve bütçe dışı finansman biçimlerinin (ücretli tıbbi hizmetleri, ortak ödemeleri ve tıbbi hizmetler için doğrudan hastalar tarafından ödenen resmi olmayan ödemeleri) analizini </w:t>
      </w:r>
      <w:r w:rsidR="00D853C5" w:rsidRPr="007D507F">
        <w:rPr>
          <w:rFonts w:ascii="Times New Roman" w:eastAsia="Arial Unicode MS" w:hAnsi="Times New Roman" w:cs="Times New Roman"/>
          <w:sz w:val="24"/>
          <w:szCs w:val="24"/>
          <w:lang w:val="tr-TR"/>
        </w:rPr>
        <w:t>yapmaktır.</w:t>
      </w:r>
    </w:p>
    <w:p w14:paraId="62540C6E" w14:textId="6E7D8252" w:rsidR="00E51141" w:rsidRDefault="007E1198" w:rsidP="005E4A12">
      <w:pPr>
        <w:spacing w:after="0" w:line="240" w:lineRule="auto"/>
        <w:ind w:firstLine="567"/>
        <w:jc w:val="both"/>
        <w:rPr>
          <w:rFonts w:ascii="Times New Roman" w:hAnsi="Times New Roman" w:cs="Times New Roman"/>
          <w:sz w:val="24"/>
          <w:szCs w:val="24"/>
          <w:lang w:val="tr-TR"/>
        </w:rPr>
      </w:pPr>
      <w:r w:rsidRPr="007D507F">
        <w:rPr>
          <w:rFonts w:ascii="Times New Roman" w:eastAsia="Arial Unicode MS" w:hAnsi="Times New Roman" w:cs="Times New Roman"/>
          <w:sz w:val="24"/>
          <w:szCs w:val="24"/>
          <w:lang w:val="tr-TR"/>
        </w:rPr>
        <w:t>Bu çalışmada, Zorunlu Sağlık Sigortası Fonu ve Kırgız Cumhuriyeti Sağlık Bakanlığı’nın 2009-2019 yılları arasındaki yıllık verilerine dayanarak karşılaştırmalı analiz</w:t>
      </w:r>
      <w:r w:rsidR="00615ACF" w:rsidRPr="007D507F">
        <w:rPr>
          <w:rFonts w:ascii="Times New Roman" w:eastAsia="Arial Unicode MS" w:hAnsi="Times New Roman" w:cs="Times New Roman"/>
          <w:sz w:val="24"/>
          <w:szCs w:val="24"/>
          <w:lang w:val="tr-TR"/>
        </w:rPr>
        <w:t xml:space="preserve"> yapılmıştır. </w:t>
      </w:r>
      <w:r w:rsidR="005846DB" w:rsidRPr="007D507F">
        <w:rPr>
          <w:rFonts w:ascii="Times New Roman" w:eastAsia="Arial Unicode MS" w:hAnsi="Times New Roman" w:cs="Times New Roman"/>
          <w:sz w:val="24"/>
          <w:szCs w:val="24"/>
          <w:lang w:val="tr-TR"/>
        </w:rPr>
        <w:t>Ç</w:t>
      </w:r>
      <w:r w:rsidR="00D8587C" w:rsidRPr="007D507F">
        <w:rPr>
          <w:rFonts w:ascii="Times New Roman" w:hAnsi="Times New Roman" w:cs="Times New Roman"/>
          <w:sz w:val="24"/>
          <w:szCs w:val="24"/>
          <w:lang w:val="tr-TR"/>
        </w:rPr>
        <w:t xml:space="preserve">alışma, Kırgızistan </w:t>
      </w:r>
      <w:r w:rsidR="0050107D" w:rsidRPr="007D507F">
        <w:rPr>
          <w:rFonts w:ascii="Times New Roman" w:hAnsi="Times New Roman" w:cs="Times New Roman"/>
          <w:sz w:val="24"/>
          <w:szCs w:val="24"/>
          <w:lang w:val="tr-TR"/>
        </w:rPr>
        <w:t xml:space="preserve">sağlık sisteminin finansman kaynakları, </w:t>
      </w:r>
      <w:r w:rsidR="00D8587C" w:rsidRPr="007D507F">
        <w:rPr>
          <w:rFonts w:ascii="Times New Roman" w:hAnsi="Times New Roman" w:cs="Times New Roman"/>
          <w:bCs/>
          <w:sz w:val="24"/>
          <w:szCs w:val="24"/>
          <w:lang w:val="tr-TR"/>
        </w:rPr>
        <w:t xml:space="preserve">zorunlu sağlık sigortası çerçevesinde sağlık hizmetlerinin mali olarak sağlanması, </w:t>
      </w:r>
      <w:r w:rsidR="00D8587C" w:rsidRPr="007D507F">
        <w:rPr>
          <w:rFonts w:ascii="Times New Roman" w:hAnsi="Times New Roman" w:cs="Times New Roman"/>
          <w:sz w:val="24"/>
          <w:szCs w:val="24"/>
          <w:lang w:val="tr-TR"/>
        </w:rPr>
        <w:t>ücretli tıbbi hizmetler</w:t>
      </w:r>
      <w:r w:rsidR="005846DB" w:rsidRPr="007D507F">
        <w:rPr>
          <w:rFonts w:ascii="Times New Roman" w:hAnsi="Times New Roman" w:cs="Times New Roman"/>
          <w:sz w:val="24"/>
          <w:szCs w:val="24"/>
          <w:lang w:val="tr-TR"/>
        </w:rPr>
        <w:t>, katkı payı konuları</w:t>
      </w:r>
      <w:r w:rsidR="00615ACF" w:rsidRPr="007D507F">
        <w:rPr>
          <w:rFonts w:ascii="Times New Roman" w:hAnsi="Times New Roman" w:cs="Times New Roman"/>
          <w:sz w:val="24"/>
          <w:szCs w:val="24"/>
          <w:lang w:val="tr-TR"/>
        </w:rPr>
        <w:t xml:space="preserve">nı </w:t>
      </w:r>
      <w:r w:rsidR="005846DB" w:rsidRPr="007D507F">
        <w:rPr>
          <w:rFonts w:ascii="Times New Roman" w:hAnsi="Times New Roman" w:cs="Times New Roman"/>
          <w:sz w:val="24"/>
          <w:szCs w:val="24"/>
          <w:lang w:val="tr-TR"/>
        </w:rPr>
        <w:t>açıklamaktadır.</w:t>
      </w:r>
      <w:r w:rsidR="00D8587C" w:rsidRPr="007D507F">
        <w:rPr>
          <w:rFonts w:ascii="Times New Roman" w:hAnsi="Times New Roman" w:cs="Times New Roman"/>
          <w:sz w:val="24"/>
          <w:szCs w:val="24"/>
          <w:lang w:val="tr-TR"/>
        </w:rPr>
        <w:tab/>
      </w:r>
    </w:p>
    <w:p w14:paraId="1FAC04C5" w14:textId="77777777" w:rsidR="005E4A12" w:rsidRDefault="005E4A12" w:rsidP="005E4A12">
      <w:pPr>
        <w:spacing w:after="0" w:line="240" w:lineRule="auto"/>
        <w:ind w:firstLine="567"/>
        <w:jc w:val="both"/>
        <w:rPr>
          <w:rFonts w:ascii="Times New Roman" w:hAnsi="Times New Roman" w:cs="Times New Roman"/>
          <w:sz w:val="24"/>
          <w:szCs w:val="24"/>
          <w:lang w:val="tr-TR"/>
        </w:rPr>
      </w:pPr>
    </w:p>
    <w:p w14:paraId="03CE55B8" w14:textId="77777777" w:rsidR="00EE1612" w:rsidRDefault="00EE1612" w:rsidP="005E4A12">
      <w:pPr>
        <w:spacing w:after="0" w:line="240" w:lineRule="auto"/>
        <w:ind w:firstLine="567"/>
        <w:jc w:val="both"/>
        <w:rPr>
          <w:rFonts w:ascii="Times New Roman" w:hAnsi="Times New Roman" w:cs="Times New Roman"/>
          <w:sz w:val="24"/>
          <w:szCs w:val="24"/>
          <w:lang w:val="tr-TR"/>
        </w:rPr>
      </w:pPr>
    </w:p>
    <w:p w14:paraId="1DBB2C44" w14:textId="77777777" w:rsidR="00EE1612" w:rsidRDefault="00EE1612" w:rsidP="005E4A12">
      <w:pPr>
        <w:spacing w:after="0" w:line="240" w:lineRule="auto"/>
        <w:ind w:firstLine="567"/>
        <w:jc w:val="both"/>
        <w:rPr>
          <w:rFonts w:ascii="Times New Roman" w:hAnsi="Times New Roman" w:cs="Times New Roman"/>
          <w:sz w:val="24"/>
          <w:szCs w:val="24"/>
          <w:lang w:val="tr-TR"/>
        </w:rPr>
      </w:pPr>
    </w:p>
    <w:p w14:paraId="309DFDED" w14:textId="77777777" w:rsidR="00EE1612" w:rsidRDefault="00EE1612" w:rsidP="005E4A12">
      <w:pPr>
        <w:spacing w:after="0" w:line="240" w:lineRule="auto"/>
        <w:ind w:firstLine="567"/>
        <w:jc w:val="both"/>
        <w:rPr>
          <w:rFonts w:ascii="Times New Roman" w:hAnsi="Times New Roman" w:cs="Times New Roman"/>
          <w:sz w:val="24"/>
          <w:szCs w:val="24"/>
          <w:lang w:val="tr-TR"/>
        </w:rPr>
      </w:pPr>
    </w:p>
    <w:p w14:paraId="3823430B" w14:textId="77777777" w:rsidR="00EE1612" w:rsidRDefault="00EE1612" w:rsidP="005E4A12">
      <w:pPr>
        <w:spacing w:after="0" w:line="240" w:lineRule="auto"/>
        <w:ind w:firstLine="567"/>
        <w:jc w:val="both"/>
        <w:rPr>
          <w:rFonts w:ascii="Times New Roman" w:hAnsi="Times New Roman" w:cs="Times New Roman"/>
          <w:sz w:val="24"/>
          <w:szCs w:val="24"/>
          <w:lang w:val="tr-TR"/>
        </w:rPr>
      </w:pPr>
    </w:p>
    <w:p w14:paraId="071976D1" w14:textId="4E96A1E9" w:rsidR="00E51141" w:rsidRDefault="00DF7BC9" w:rsidP="005E4A12">
      <w:pPr>
        <w:pStyle w:val="a4"/>
        <w:numPr>
          <w:ilvl w:val="0"/>
          <w:numId w:val="11"/>
        </w:numPr>
        <w:spacing w:after="0" w:line="240" w:lineRule="auto"/>
        <w:ind w:left="568" w:hanging="284"/>
        <w:jc w:val="both"/>
        <w:rPr>
          <w:rFonts w:ascii="Times New Roman" w:hAnsi="Times New Roman" w:cs="Times New Roman"/>
          <w:b/>
          <w:sz w:val="24"/>
          <w:szCs w:val="24"/>
          <w:lang w:val="tr-TR"/>
        </w:rPr>
      </w:pPr>
      <w:r w:rsidRPr="005E4A12">
        <w:rPr>
          <w:rFonts w:ascii="Times New Roman" w:hAnsi="Times New Roman" w:cs="Times New Roman"/>
          <w:b/>
          <w:sz w:val="24"/>
          <w:szCs w:val="24"/>
          <w:lang w:val="tr-TR"/>
        </w:rPr>
        <w:lastRenderedPageBreak/>
        <w:t>Finansm</w:t>
      </w:r>
      <w:r w:rsidR="00EE1612">
        <w:rPr>
          <w:rFonts w:ascii="Times New Roman" w:hAnsi="Times New Roman" w:cs="Times New Roman"/>
          <w:b/>
          <w:sz w:val="24"/>
          <w:szCs w:val="24"/>
          <w:lang w:val="tr-TR"/>
        </w:rPr>
        <w:t>a</w:t>
      </w:r>
      <w:r w:rsidRPr="005E4A12">
        <w:rPr>
          <w:rFonts w:ascii="Times New Roman" w:hAnsi="Times New Roman" w:cs="Times New Roman"/>
          <w:b/>
          <w:sz w:val="24"/>
          <w:szCs w:val="24"/>
          <w:lang w:val="tr-TR"/>
        </w:rPr>
        <w:t>n kaynakları</w:t>
      </w:r>
    </w:p>
    <w:p w14:paraId="2C07EA99" w14:textId="77777777" w:rsidR="005E4A12" w:rsidRPr="005E4A12" w:rsidRDefault="005E4A12" w:rsidP="005E4A12">
      <w:pPr>
        <w:pStyle w:val="a4"/>
        <w:spacing w:after="0" w:line="240" w:lineRule="auto"/>
        <w:ind w:left="568"/>
        <w:jc w:val="both"/>
        <w:rPr>
          <w:rFonts w:ascii="Times New Roman" w:hAnsi="Times New Roman" w:cs="Times New Roman"/>
          <w:b/>
          <w:sz w:val="24"/>
          <w:szCs w:val="24"/>
          <w:lang w:val="tr-TR"/>
        </w:rPr>
      </w:pPr>
    </w:p>
    <w:p w14:paraId="6CB72F4B" w14:textId="07585F02" w:rsidR="00DF7BC9" w:rsidRPr="007D507F" w:rsidRDefault="00DF7BC9" w:rsidP="005E4A12">
      <w:pPr>
        <w:spacing w:after="12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 xml:space="preserve">Devlet desteğiyle sağlanan sağlık hizmetlerinin finansmanı, esas olarak bu sosyal alanın ihtiyaçlarını karşılamaya yönelik mali kaynakların ana kaynağı olan devlet bütçesinden </w:t>
      </w:r>
      <w:r w:rsidR="007A4293" w:rsidRPr="007D507F">
        <w:rPr>
          <w:rFonts w:ascii="Times New Roman" w:eastAsia="Times New Roman" w:hAnsi="Times New Roman" w:cs="Times New Roman"/>
          <w:sz w:val="24"/>
          <w:szCs w:val="24"/>
          <w:shd w:val="clear" w:color="auto" w:fill="FFFFFF"/>
          <w:lang w:val="tr-TR" w:eastAsia="ru-RU"/>
        </w:rPr>
        <w:t>gerçekleştirilmektedir</w:t>
      </w:r>
      <w:r w:rsidR="000C60C3" w:rsidRPr="007D507F">
        <w:rPr>
          <w:rFonts w:ascii="Times New Roman" w:eastAsia="Times New Roman" w:hAnsi="Times New Roman" w:cs="Times New Roman"/>
          <w:sz w:val="24"/>
          <w:szCs w:val="24"/>
          <w:shd w:val="clear" w:color="auto" w:fill="FFFFFF"/>
          <w:lang w:val="tr-TR" w:eastAsia="ru-RU"/>
        </w:rPr>
        <w:t>.</w:t>
      </w:r>
    </w:p>
    <w:p w14:paraId="4A9E4476" w14:textId="77777777" w:rsidR="00FB70D0" w:rsidRPr="007F3F6C" w:rsidRDefault="00FB70D0" w:rsidP="00FB70D0">
      <w:pPr>
        <w:pStyle w:val="a0"/>
        <w:spacing w:after="0"/>
        <w:ind w:firstLine="0"/>
        <w:rPr>
          <w:rFonts w:cs="Times New Roman"/>
          <w:spacing w:val="-2"/>
          <w:sz w:val="22"/>
          <w:szCs w:val="22"/>
          <w:lang w:val="tr-TR"/>
        </w:rPr>
      </w:pPr>
      <w:r w:rsidRPr="007F3F6C">
        <w:rPr>
          <w:rFonts w:cs="Times New Roman"/>
          <w:noProof/>
          <w:lang w:val="ru-RU" w:eastAsia="ru-RU" w:bidi="ar-SA"/>
        </w:rPr>
        <w:drawing>
          <wp:inline distT="0" distB="0" distL="0" distR="0" wp14:anchorId="68AD6228" wp14:editId="5E9B8028">
            <wp:extent cx="5915025" cy="26003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B53238" w14:textId="77777777" w:rsidR="00FB70D0" w:rsidRPr="005E4A12" w:rsidRDefault="00FB70D0" w:rsidP="007D507F">
      <w:pPr>
        <w:spacing w:before="60" w:after="0" w:line="240" w:lineRule="auto"/>
        <w:jc w:val="center"/>
        <w:rPr>
          <w:rFonts w:ascii="Times New Roman" w:hAnsi="Times New Roman" w:cs="Times New Roman"/>
          <w:b/>
          <w:sz w:val="24"/>
          <w:szCs w:val="24"/>
          <w:lang w:val="tr-TR"/>
        </w:rPr>
      </w:pPr>
      <w:r w:rsidRPr="005E4A12">
        <w:rPr>
          <w:rFonts w:ascii="Times New Roman" w:hAnsi="Times New Roman" w:cs="Times New Roman"/>
          <w:b/>
          <w:bCs/>
          <w:sz w:val="24"/>
          <w:szCs w:val="24"/>
          <w:lang w:val="tr-TR"/>
        </w:rPr>
        <w:t xml:space="preserve">Grafik 1. </w:t>
      </w:r>
      <w:r w:rsidRPr="005E4A12">
        <w:rPr>
          <w:rFonts w:ascii="Times New Roman" w:hAnsi="Times New Roman" w:cs="Times New Roman"/>
          <w:bCs/>
          <w:sz w:val="24"/>
          <w:szCs w:val="24"/>
          <w:lang w:val="tr-TR"/>
        </w:rPr>
        <w:t>Kırgız Cumhuriyeti’nin sağlık sistemi genel harcamaları (mln. Som)</w:t>
      </w:r>
    </w:p>
    <w:p w14:paraId="26544F89" w14:textId="77777777" w:rsidR="00FB70D0" w:rsidRDefault="00FB70D0" w:rsidP="007D507F">
      <w:pPr>
        <w:spacing w:after="0" w:line="240" w:lineRule="auto"/>
        <w:jc w:val="both"/>
        <w:rPr>
          <w:rFonts w:ascii="Times New Roman" w:hAnsi="Times New Roman" w:cs="Times New Roman"/>
          <w:i/>
          <w:spacing w:val="-2"/>
          <w:lang w:val="tr-TR"/>
        </w:rPr>
      </w:pPr>
      <w:r w:rsidRPr="002A77F4">
        <w:rPr>
          <w:rFonts w:ascii="Times New Roman" w:hAnsi="Times New Roman" w:cs="Times New Roman"/>
          <w:b/>
          <w:i/>
          <w:spacing w:val="-2"/>
          <w:lang w:val="tr-TR"/>
        </w:rPr>
        <w:t>Kaynak:</w:t>
      </w:r>
      <w:r w:rsidRPr="002A77F4">
        <w:rPr>
          <w:rFonts w:ascii="Times New Roman" w:hAnsi="Times New Roman" w:cs="Times New Roman"/>
          <w:i/>
          <w:spacing w:val="-2"/>
          <w:lang w:val="tr-TR"/>
        </w:rPr>
        <w:t xml:space="preserve"> Tablo, Kırgız Cumhuriyeti Sağlık Bakanlığı'nın 2009-2019 verilerine göre hesaplanmıştır.</w:t>
      </w:r>
    </w:p>
    <w:p w14:paraId="0B7BEF4C" w14:textId="297C61B7" w:rsidR="006C5E8A" w:rsidRPr="007D507F" w:rsidRDefault="008C7248" w:rsidP="005E4A12">
      <w:pPr>
        <w:spacing w:before="120" w:after="12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 xml:space="preserve">Halk </w:t>
      </w:r>
      <w:r w:rsidR="005571A8" w:rsidRPr="007D507F">
        <w:rPr>
          <w:rFonts w:ascii="Times New Roman" w:eastAsia="Times New Roman" w:hAnsi="Times New Roman" w:cs="Times New Roman"/>
          <w:sz w:val="24"/>
          <w:szCs w:val="24"/>
          <w:shd w:val="clear" w:color="auto" w:fill="FFFFFF"/>
          <w:lang w:val="tr-TR" w:eastAsia="ru-RU"/>
        </w:rPr>
        <w:t>sağlı</w:t>
      </w:r>
      <w:r w:rsidRPr="007D507F">
        <w:rPr>
          <w:rFonts w:ascii="Times New Roman" w:eastAsia="Times New Roman" w:hAnsi="Times New Roman" w:cs="Times New Roman"/>
          <w:sz w:val="24"/>
          <w:szCs w:val="24"/>
          <w:shd w:val="clear" w:color="auto" w:fill="FFFFFF"/>
          <w:lang w:val="tr-TR" w:eastAsia="ru-RU"/>
        </w:rPr>
        <w:t xml:space="preserve">ğı </w:t>
      </w:r>
      <w:r w:rsidR="00662CC4" w:rsidRPr="007D507F">
        <w:rPr>
          <w:rFonts w:ascii="Times New Roman" w:eastAsia="Times New Roman" w:hAnsi="Times New Roman" w:cs="Times New Roman"/>
          <w:sz w:val="24"/>
          <w:szCs w:val="24"/>
          <w:shd w:val="clear" w:color="auto" w:fill="FFFFFF"/>
          <w:lang w:val="tr-TR" w:eastAsia="ru-RU"/>
        </w:rPr>
        <w:t>kuruluşlarının desteklemesine</w:t>
      </w:r>
      <w:r w:rsidR="004C056B" w:rsidRPr="007D507F">
        <w:rPr>
          <w:rFonts w:ascii="Times New Roman" w:eastAsia="Times New Roman" w:hAnsi="Times New Roman" w:cs="Times New Roman"/>
          <w:sz w:val="24"/>
          <w:szCs w:val="24"/>
          <w:shd w:val="clear" w:color="auto" w:fill="FFFFFF"/>
          <w:lang w:val="tr-TR" w:eastAsia="ru-RU"/>
        </w:rPr>
        <w:t>,</w:t>
      </w:r>
      <w:r w:rsidR="00662CC4" w:rsidRPr="007D507F">
        <w:rPr>
          <w:rFonts w:ascii="Times New Roman" w:eastAsia="Times New Roman" w:hAnsi="Times New Roman" w:cs="Times New Roman"/>
          <w:sz w:val="24"/>
          <w:szCs w:val="24"/>
          <w:shd w:val="clear" w:color="auto" w:fill="FFFFFF"/>
          <w:lang w:val="tr-TR" w:eastAsia="ru-RU"/>
        </w:rPr>
        <w:t xml:space="preserve"> Zorunlu Sağlık Sigortası Fonu’ndan</w:t>
      </w:r>
      <w:r w:rsidR="00700962">
        <w:rPr>
          <w:rFonts w:ascii="Times New Roman" w:eastAsia="Times New Roman" w:hAnsi="Times New Roman" w:cs="Times New Roman"/>
          <w:sz w:val="24"/>
          <w:szCs w:val="24"/>
          <w:shd w:val="clear" w:color="auto" w:fill="FFFFFF"/>
          <w:lang w:val="tr-TR" w:eastAsia="ru-RU"/>
        </w:rPr>
        <w:t xml:space="preserve"> pay ayırarak </w:t>
      </w:r>
      <w:r w:rsidR="004C056B" w:rsidRPr="007D507F">
        <w:rPr>
          <w:rFonts w:ascii="Times New Roman" w:eastAsia="Times New Roman" w:hAnsi="Times New Roman" w:cs="Times New Roman"/>
          <w:sz w:val="24"/>
          <w:szCs w:val="24"/>
          <w:shd w:val="clear" w:color="auto" w:fill="FFFFFF"/>
          <w:lang w:val="tr-TR" w:eastAsia="ru-RU"/>
        </w:rPr>
        <w:t>devam etmektedir.</w:t>
      </w:r>
      <w:r w:rsidR="00662CC4" w:rsidRPr="007D507F">
        <w:rPr>
          <w:rFonts w:ascii="Times New Roman" w:eastAsia="Times New Roman" w:hAnsi="Times New Roman" w:cs="Times New Roman"/>
          <w:sz w:val="24"/>
          <w:szCs w:val="24"/>
          <w:shd w:val="clear" w:color="auto" w:fill="FFFFFF"/>
          <w:lang w:val="tr-TR" w:eastAsia="ru-RU"/>
        </w:rPr>
        <w:t xml:space="preserve"> </w:t>
      </w:r>
      <w:r w:rsidR="004C056B" w:rsidRPr="007D507F">
        <w:rPr>
          <w:rFonts w:ascii="Times New Roman" w:eastAsia="Times New Roman" w:hAnsi="Times New Roman" w:cs="Times New Roman"/>
          <w:sz w:val="24"/>
          <w:szCs w:val="24"/>
          <w:shd w:val="clear" w:color="auto" w:fill="FFFFFF"/>
          <w:lang w:val="tr-TR" w:eastAsia="ru-RU"/>
        </w:rPr>
        <w:t xml:space="preserve">Bununla birlikte, </w:t>
      </w:r>
      <w:r w:rsidR="005571A8" w:rsidRPr="007D507F">
        <w:rPr>
          <w:rFonts w:ascii="Times New Roman" w:eastAsia="Times New Roman" w:hAnsi="Times New Roman" w:cs="Times New Roman"/>
          <w:sz w:val="24"/>
          <w:szCs w:val="24"/>
          <w:shd w:val="clear" w:color="auto" w:fill="FFFFFF"/>
          <w:lang w:val="tr-TR" w:eastAsia="ru-RU"/>
        </w:rPr>
        <w:t>C</w:t>
      </w:r>
      <w:r w:rsidR="00662CC4" w:rsidRPr="007D507F">
        <w:rPr>
          <w:rFonts w:ascii="Times New Roman" w:eastAsia="Times New Roman" w:hAnsi="Times New Roman" w:cs="Times New Roman"/>
          <w:sz w:val="24"/>
          <w:szCs w:val="24"/>
          <w:shd w:val="clear" w:color="auto" w:fill="FFFFFF"/>
          <w:lang w:val="tr-TR" w:eastAsia="ru-RU"/>
        </w:rPr>
        <w:t>umhur</w:t>
      </w:r>
      <w:r w:rsidRPr="007D507F">
        <w:rPr>
          <w:rFonts w:ascii="Times New Roman" w:eastAsia="Times New Roman" w:hAnsi="Times New Roman" w:cs="Times New Roman"/>
          <w:sz w:val="24"/>
          <w:szCs w:val="24"/>
          <w:shd w:val="clear" w:color="auto" w:fill="FFFFFF"/>
          <w:lang w:val="tr-TR" w:eastAsia="ru-RU"/>
        </w:rPr>
        <w:t xml:space="preserve">iyetin başkenti Bişkek şehrinin </w:t>
      </w:r>
      <w:r w:rsidR="00662CC4" w:rsidRPr="007D507F">
        <w:rPr>
          <w:rFonts w:ascii="Times New Roman" w:eastAsia="Times New Roman" w:hAnsi="Times New Roman" w:cs="Times New Roman"/>
          <w:sz w:val="24"/>
          <w:szCs w:val="24"/>
          <w:shd w:val="clear" w:color="auto" w:fill="FFFFFF"/>
          <w:lang w:val="tr-TR" w:eastAsia="ru-RU"/>
        </w:rPr>
        <w:t>yerel bütçe</w:t>
      </w:r>
      <w:r w:rsidRPr="007D507F">
        <w:rPr>
          <w:rFonts w:ascii="Times New Roman" w:eastAsia="Times New Roman" w:hAnsi="Times New Roman" w:cs="Times New Roman"/>
          <w:sz w:val="24"/>
          <w:szCs w:val="24"/>
          <w:shd w:val="clear" w:color="auto" w:fill="FFFFFF"/>
          <w:lang w:val="tr-TR" w:eastAsia="ru-RU"/>
        </w:rPr>
        <w:t xml:space="preserve">sinden alınan fonlar ve sunulan </w:t>
      </w:r>
      <w:r w:rsidR="00662CC4" w:rsidRPr="007D507F">
        <w:rPr>
          <w:rFonts w:ascii="Times New Roman" w:eastAsia="Times New Roman" w:hAnsi="Times New Roman" w:cs="Times New Roman"/>
          <w:sz w:val="24"/>
          <w:szCs w:val="24"/>
          <w:shd w:val="clear" w:color="auto" w:fill="FFFFFF"/>
          <w:lang w:val="tr-TR" w:eastAsia="ru-RU"/>
        </w:rPr>
        <w:t>sağlık hizmet</w:t>
      </w:r>
      <w:r w:rsidR="004C056B" w:rsidRPr="007D507F">
        <w:rPr>
          <w:rFonts w:ascii="Times New Roman" w:eastAsia="Times New Roman" w:hAnsi="Times New Roman" w:cs="Times New Roman"/>
          <w:sz w:val="24"/>
          <w:szCs w:val="24"/>
          <w:shd w:val="clear" w:color="auto" w:fill="FFFFFF"/>
          <w:lang w:val="tr-TR" w:eastAsia="ru-RU"/>
        </w:rPr>
        <w:t>i</w:t>
      </w:r>
      <w:r w:rsidR="00662CC4" w:rsidRPr="007D507F">
        <w:rPr>
          <w:rFonts w:ascii="Times New Roman" w:eastAsia="Times New Roman" w:hAnsi="Times New Roman" w:cs="Times New Roman"/>
          <w:sz w:val="24"/>
          <w:szCs w:val="24"/>
          <w:shd w:val="clear" w:color="auto" w:fill="FFFFFF"/>
          <w:lang w:val="tr-TR" w:eastAsia="ru-RU"/>
        </w:rPr>
        <w:t xml:space="preserve"> karşılığı </w:t>
      </w:r>
      <w:r w:rsidR="00517682" w:rsidRPr="007D507F">
        <w:rPr>
          <w:rFonts w:ascii="Times New Roman" w:eastAsia="Times New Roman" w:hAnsi="Times New Roman" w:cs="Times New Roman"/>
          <w:sz w:val="24"/>
          <w:szCs w:val="24"/>
          <w:shd w:val="clear" w:color="auto" w:fill="FFFFFF"/>
          <w:lang w:val="tr-TR" w:eastAsia="ru-RU"/>
        </w:rPr>
        <w:t xml:space="preserve">vatandaşlardan gelen </w:t>
      </w:r>
      <w:r w:rsidR="00662CC4" w:rsidRPr="007D507F">
        <w:rPr>
          <w:rFonts w:ascii="Times New Roman" w:eastAsia="Times New Roman" w:hAnsi="Times New Roman" w:cs="Times New Roman"/>
          <w:sz w:val="24"/>
          <w:szCs w:val="24"/>
          <w:shd w:val="clear" w:color="auto" w:fill="FFFFFF"/>
          <w:lang w:val="tr-TR" w:eastAsia="ru-RU"/>
        </w:rPr>
        <w:t>fonlar</w:t>
      </w:r>
      <w:r w:rsidR="004C056B" w:rsidRPr="007D507F">
        <w:rPr>
          <w:rFonts w:ascii="Times New Roman" w:eastAsia="Times New Roman" w:hAnsi="Times New Roman" w:cs="Times New Roman"/>
          <w:sz w:val="24"/>
          <w:szCs w:val="24"/>
          <w:shd w:val="clear" w:color="auto" w:fill="FFFFFF"/>
          <w:lang w:val="tr-TR" w:eastAsia="ru-RU"/>
        </w:rPr>
        <w:t>da, sağlık sisteminin</w:t>
      </w:r>
      <w:r w:rsidRPr="007D507F">
        <w:rPr>
          <w:rFonts w:ascii="Times New Roman" w:eastAsia="Times New Roman" w:hAnsi="Times New Roman" w:cs="Times New Roman"/>
          <w:sz w:val="24"/>
          <w:szCs w:val="24"/>
          <w:shd w:val="clear" w:color="auto" w:fill="FFFFFF"/>
          <w:lang w:val="tr-TR" w:eastAsia="ru-RU"/>
        </w:rPr>
        <w:t xml:space="preserve"> finansmanını desteklemektedir </w:t>
      </w:r>
      <w:r w:rsidR="006C5E8A" w:rsidRPr="007D507F">
        <w:rPr>
          <w:rFonts w:ascii="Times New Roman" w:eastAsia="Times New Roman" w:hAnsi="Times New Roman" w:cs="Times New Roman"/>
          <w:sz w:val="24"/>
          <w:szCs w:val="24"/>
          <w:shd w:val="clear" w:color="auto" w:fill="FFFFFF"/>
          <w:lang w:val="tr-TR" w:eastAsia="ru-RU"/>
        </w:rPr>
        <w:t>(Grafik 1).</w:t>
      </w:r>
    </w:p>
    <w:p w14:paraId="2C97F6C0" w14:textId="77777777" w:rsidR="00F338C2" w:rsidRPr="007F3F6C" w:rsidRDefault="00F338C2" w:rsidP="007D507F">
      <w:pPr>
        <w:shd w:val="clear" w:color="auto" w:fill="FFFFFF"/>
        <w:spacing w:after="0" w:line="240" w:lineRule="auto"/>
        <w:jc w:val="center"/>
        <w:rPr>
          <w:rStyle w:val="a8"/>
          <w:rFonts w:ascii="Times New Roman" w:hAnsi="Times New Roman" w:cs="Times New Roman"/>
          <w:b w:val="0"/>
          <w:shd w:val="clear" w:color="auto" w:fill="FFFFFF"/>
        </w:rPr>
      </w:pPr>
      <w:r w:rsidRPr="007F3F6C">
        <w:rPr>
          <w:rFonts w:ascii="Times New Roman" w:hAnsi="Times New Roman" w:cs="Times New Roman"/>
          <w:noProof/>
          <w:lang w:eastAsia="ru-RU"/>
        </w:rPr>
        <w:drawing>
          <wp:inline distT="0" distB="0" distL="0" distR="0" wp14:anchorId="0E906064" wp14:editId="53CE9858">
            <wp:extent cx="5791200" cy="26670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E1E9CE" w14:textId="77777777" w:rsidR="00F338C2" w:rsidRPr="007D507F" w:rsidRDefault="005466AD" w:rsidP="007D507F">
      <w:pPr>
        <w:shd w:val="clear" w:color="auto" w:fill="FFFFFF"/>
        <w:spacing w:after="0" w:line="240" w:lineRule="auto"/>
        <w:jc w:val="center"/>
        <w:rPr>
          <w:rStyle w:val="a8"/>
          <w:rFonts w:ascii="Times New Roman" w:hAnsi="Times New Roman" w:cs="Times New Roman"/>
          <w:b w:val="0"/>
          <w:shd w:val="clear" w:color="auto" w:fill="FFFFFF"/>
          <w:lang w:val="tr-TR"/>
        </w:rPr>
      </w:pPr>
      <w:r w:rsidRPr="007D507F">
        <w:rPr>
          <w:rStyle w:val="a8"/>
          <w:rFonts w:ascii="Times New Roman" w:hAnsi="Times New Roman" w:cs="Times New Roman"/>
          <w:shd w:val="clear" w:color="auto" w:fill="FFFFFF"/>
          <w:lang w:val="tr-TR"/>
        </w:rPr>
        <w:t>Grafik</w:t>
      </w:r>
      <w:r w:rsidR="009C53BF" w:rsidRPr="007D507F">
        <w:rPr>
          <w:rStyle w:val="a8"/>
          <w:rFonts w:ascii="Times New Roman" w:hAnsi="Times New Roman" w:cs="Times New Roman"/>
          <w:shd w:val="clear" w:color="auto" w:fill="FFFFFF"/>
          <w:lang w:val="tr-TR"/>
        </w:rPr>
        <w:t xml:space="preserve"> 2</w:t>
      </w:r>
      <w:r w:rsidR="00F338C2" w:rsidRPr="007D507F">
        <w:rPr>
          <w:rStyle w:val="a8"/>
          <w:rFonts w:ascii="Times New Roman" w:hAnsi="Times New Roman" w:cs="Times New Roman"/>
          <w:shd w:val="clear" w:color="auto" w:fill="FFFFFF"/>
          <w:lang w:val="tr-TR"/>
        </w:rPr>
        <w:t>:</w:t>
      </w:r>
      <w:r w:rsidR="009C53BF" w:rsidRPr="007D507F">
        <w:rPr>
          <w:rStyle w:val="a8"/>
          <w:rFonts w:ascii="Times New Roman" w:hAnsi="Times New Roman" w:cs="Times New Roman"/>
          <w:b w:val="0"/>
          <w:shd w:val="clear" w:color="auto" w:fill="FFFFFF"/>
          <w:lang w:val="tr-TR"/>
        </w:rPr>
        <w:t xml:space="preserve"> Kırgız Cumhuriyeti </w:t>
      </w:r>
      <w:r w:rsidR="002A77F4" w:rsidRPr="007D507F">
        <w:rPr>
          <w:rStyle w:val="a8"/>
          <w:rFonts w:ascii="Times New Roman" w:hAnsi="Times New Roman" w:cs="Times New Roman"/>
          <w:b w:val="0"/>
          <w:shd w:val="clear" w:color="auto" w:fill="FFFFFF"/>
          <w:lang w:val="tr-TR"/>
        </w:rPr>
        <w:t xml:space="preserve">devlet bütçesinin sağlık hizmetlerine yaptığı harcamalar </w:t>
      </w:r>
      <w:r w:rsidR="009C53BF" w:rsidRPr="007D507F">
        <w:rPr>
          <w:rStyle w:val="a8"/>
          <w:rFonts w:ascii="Times New Roman" w:hAnsi="Times New Roman" w:cs="Times New Roman"/>
          <w:b w:val="0"/>
          <w:shd w:val="clear" w:color="auto" w:fill="FFFFFF"/>
          <w:lang w:val="tr-TR"/>
        </w:rPr>
        <w:t>(mln. Som)</w:t>
      </w:r>
    </w:p>
    <w:p w14:paraId="61D37DAB" w14:textId="77777777" w:rsidR="009C53BF" w:rsidRPr="002A77F4" w:rsidRDefault="002A77F4" w:rsidP="007D507F">
      <w:pPr>
        <w:spacing w:after="0" w:line="240" w:lineRule="auto"/>
        <w:rPr>
          <w:rStyle w:val="a9"/>
          <w:rFonts w:ascii="Times New Roman" w:hAnsi="Times New Roman" w:cs="Times New Roman"/>
          <w:shd w:val="clear" w:color="auto" w:fill="FFFFFF"/>
          <w:lang w:val="tr-TR"/>
        </w:rPr>
      </w:pPr>
      <w:r>
        <w:rPr>
          <w:rStyle w:val="a9"/>
          <w:rFonts w:ascii="Times New Roman" w:hAnsi="Times New Roman" w:cs="Times New Roman"/>
          <w:b/>
          <w:shd w:val="clear" w:color="auto" w:fill="FFFFFF"/>
          <w:lang w:val="tr-TR"/>
        </w:rPr>
        <w:t xml:space="preserve">  </w:t>
      </w:r>
      <w:r w:rsidR="009C53BF" w:rsidRPr="002A77F4">
        <w:rPr>
          <w:rStyle w:val="a9"/>
          <w:rFonts w:ascii="Times New Roman" w:hAnsi="Times New Roman" w:cs="Times New Roman"/>
          <w:b/>
          <w:shd w:val="clear" w:color="auto" w:fill="FFFFFF"/>
          <w:lang w:val="tr-TR"/>
        </w:rPr>
        <w:t>Kaynak:</w:t>
      </w:r>
      <w:r w:rsidR="009C53BF" w:rsidRPr="002A77F4">
        <w:rPr>
          <w:rStyle w:val="a9"/>
          <w:rFonts w:ascii="Times New Roman" w:hAnsi="Times New Roman" w:cs="Times New Roman"/>
          <w:shd w:val="clear" w:color="auto" w:fill="FFFFFF"/>
          <w:lang w:val="tr-TR"/>
        </w:rPr>
        <w:t xml:space="preserve"> Milli İstatistik Komitesi verileri, 2020.</w:t>
      </w:r>
    </w:p>
    <w:p w14:paraId="0988F04D" w14:textId="2B12F1EB" w:rsidR="00FB70D0" w:rsidRPr="007D507F" w:rsidRDefault="00FB70D0" w:rsidP="007D507F">
      <w:pPr>
        <w:spacing w:before="120" w:after="120" w:line="240" w:lineRule="auto"/>
        <w:ind w:firstLine="567"/>
        <w:jc w:val="both"/>
        <w:rPr>
          <w:rStyle w:val="a8"/>
          <w:rFonts w:ascii="Times New Roman" w:hAnsi="Times New Roman" w:cs="Times New Roman"/>
          <w:i/>
          <w:sz w:val="24"/>
          <w:szCs w:val="24"/>
          <w:shd w:val="clear" w:color="auto" w:fill="FFFFFF"/>
          <w:lang w:val="tr-TR"/>
        </w:rPr>
      </w:pPr>
      <w:r w:rsidRPr="007D507F">
        <w:rPr>
          <w:rFonts w:ascii="Times New Roman" w:hAnsi="Times New Roman" w:cs="Times New Roman"/>
          <w:sz w:val="24"/>
          <w:szCs w:val="24"/>
          <w:lang w:val="tr-TR"/>
        </w:rPr>
        <w:t xml:space="preserve">2009-2019 dönemindeki Tek Ödeme Sisteminin fon kaynaklarının analiz verilerine göre, sağlık sisteminin mali kaynakları önemli ölçüde (2009’da 4008,3 milyon Som’dan 2019’da 15720,5 milyon Som’a kadar) artmasına rağmen, ülkenin bütçesindeki sağlık sistemine giden kamu harcamalarının payı halen sektörün ihtiyaçlarını </w:t>
      </w:r>
      <w:r w:rsidR="009E0985" w:rsidRPr="007D507F">
        <w:rPr>
          <w:rFonts w:ascii="Times New Roman" w:hAnsi="Times New Roman" w:cs="Times New Roman"/>
          <w:sz w:val="24"/>
          <w:szCs w:val="24"/>
          <w:lang w:val="tr-TR"/>
        </w:rPr>
        <w:t>karşılamamktadır. Bu kapsamda bütçeden ayrılan pay, bütçenin</w:t>
      </w:r>
      <w:r w:rsidR="000C60C3" w:rsidRPr="007D507F">
        <w:rPr>
          <w:rFonts w:ascii="Times New Roman" w:hAnsi="Times New Roman" w:cs="Times New Roman"/>
          <w:sz w:val="24"/>
          <w:szCs w:val="24"/>
          <w:lang w:val="tr-TR"/>
        </w:rPr>
        <w:t xml:space="preserve"> </w:t>
      </w:r>
      <w:r w:rsidRPr="007D507F">
        <w:rPr>
          <w:rFonts w:ascii="Times New Roman" w:hAnsi="Times New Roman" w:cs="Times New Roman"/>
          <w:sz w:val="24"/>
          <w:szCs w:val="24"/>
          <w:lang w:val="tr-TR"/>
        </w:rPr>
        <w:t xml:space="preserve">yüzde olarak </w:t>
      </w:r>
      <w:r w:rsidR="009E0985" w:rsidRPr="007D507F">
        <w:rPr>
          <w:rFonts w:ascii="Times New Roman" w:hAnsi="Times New Roman" w:cs="Times New Roman"/>
          <w:sz w:val="24"/>
          <w:szCs w:val="24"/>
          <w:lang w:val="tr-TR"/>
        </w:rPr>
        <w:t>%</w:t>
      </w:r>
      <w:r w:rsidRPr="007D507F">
        <w:rPr>
          <w:rFonts w:ascii="Times New Roman" w:hAnsi="Times New Roman" w:cs="Times New Roman"/>
          <w:sz w:val="24"/>
          <w:szCs w:val="24"/>
          <w:lang w:val="tr-TR"/>
        </w:rPr>
        <w:t>8,7</w:t>
      </w:r>
      <w:r w:rsidR="009E0985" w:rsidRPr="007D507F">
        <w:rPr>
          <w:rFonts w:ascii="Times New Roman" w:hAnsi="Times New Roman" w:cs="Times New Roman"/>
          <w:sz w:val="24"/>
          <w:szCs w:val="24"/>
          <w:lang w:val="tr-TR"/>
        </w:rPr>
        <w:t xml:space="preserve"> seviyesinde</w:t>
      </w:r>
      <w:r w:rsidR="000C60C3" w:rsidRPr="007D507F">
        <w:rPr>
          <w:rFonts w:ascii="Times New Roman" w:hAnsi="Times New Roman" w:cs="Times New Roman"/>
          <w:sz w:val="24"/>
          <w:szCs w:val="24"/>
          <w:lang w:val="tr-TR"/>
        </w:rPr>
        <w:t xml:space="preserve">dir (Grafik </w:t>
      </w:r>
      <w:r w:rsidRPr="007D507F">
        <w:rPr>
          <w:rFonts w:ascii="Times New Roman" w:hAnsi="Times New Roman" w:cs="Times New Roman"/>
          <w:sz w:val="24"/>
          <w:szCs w:val="24"/>
          <w:lang w:val="tr-TR"/>
        </w:rPr>
        <w:t>2</w:t>
      </w:r>
      <w:r w:rsidR="000C60C3" w:rsidRPr="007D507F">
        <w:rPr>
          <w:rFonts w:ascii="Times New Roman" w:hAnsi="Times New Roman" w:cs="Times New Roman"/>
          <w:sz w:val="24"/>
          <w:szCs w:val="24"/>
          <w:lang w:val="tr-TR"/>
        </w:rPr>
        <w:t xml:space="preserve">). </w:t>
      </w:r>
      <w:r w:rsidR="009E0985" w:rsidRPr="007D507F">
        <w:rPr>
          <w:rFonts w:ascii="Times New Roman" w:hAnsi="Times New Roman" w:cs="Times New Roman"/>
          <w:sz w:val="24"/>
          <w:szCs w:val="24"/>
          <w:lang w:val="tr-TR"/>
        </w:rPr>
        <w:t xml:space="preserve">Bunun sebebi ise, </w:t>
      </w:r>
      <w:r w:rsidR="008E3514" w:rsidRPr="007D507F">
        <w:rPr>
          <w:rFonts w:ascii="Times New Roman" w:hAnsi="Times New Roman" w:cs="Times New Roman"/>
          <w:sz w:val="24"/>
          <w:szCs w:val="24"/>
          <w:lang w:val="tr-TR"/>
        </w:rPr>
        <w:t xml:space="preserve">artık finansman </w:t>
      </w:r>
      <w:r w:rsidRPr="007D507F">
        <w:rPr>
          <w:rFonts w:ascii="Times New Roman" w:hAnsi="Times New Roman" w:cs="Times New Roman"/>
          <w:sz w:val="24"/>
          <w:szCs w:val="24"/>
          <w:lang w:val="tr-TR"/>
        </w:rPr>
        <w:t>ilkesi</w:t>
      </w:r>
      <w:r w:rsidR="009E0985" w:rsidRPr="007D507F">
        <w:rPr>
          <w:rFonts w:ascii="Times New Roman" w:hAnsi="Times New Roman" w:cs="Times New Roman"/>
          <w:sz w:val="24"/>
          <w:szCs w:val="24"/>
          <w:lang w:val="tr-TR"/>
        </w:rPr>
        <w:t>nin halen devam etmekte olmasından kaynaklanmaktadır.</w:t>
      </w:r>
    </w:p>
    <w:p w14:paraId="7B72440E" w14:textId="77777777" w:rsidR="005E4A12" w:rsidRDefault="005E4A12" w:rsidP="007D507F">
      <w:pPr>
        <w:shd w:val="clear" w:color="auto" w:fill="FFFFFF"/>
        <w:spacing w:before="120" w:after="0" w:line="240" w:lineRule="auto"/>
        <w:ind w:firstLine="709"/>
        <w:rPr>
          <w:rFonts w:ascii="Times New Roman" w:eastAsia="Times New Roman" w:hAnsi="Times New Roman" w:cs="Times New Roman"/>
          <w:b/>
          <w:color w:val="000000" w:themeColor="text1"/>
          <w:sz w:val="24"/>
          <w:szCs w:val="24"/>
          <w:shd w:val="clear" w:color="auto" w:fill="FFFFFF"/>
          <w:lang w:val="tr-TR" w:eastAsia="ru-RU"/>
        </w:rPr>
      </w:pPr>
    </w:p>
    <w:p w14:paraId="65777204" w14:textId="24ACEA80" w:rsidR="00FB70D0" w:rsidRPr="007D507F" w:rsidRDefault="00FB70D0" w:rsidP="005E4A12">
      <w:pPr>
        <w:shd w:val="clear" w:color="auto" w:fill="FFFFFF"/>
        <w:spacing w:before="120" w:after="0" w:line="240" w:lineRule="auto"/>
        <w:ind w:firstLine="567"/>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b/>
          <w:color w:val="000000" w:themeColor="text1"/>
          <w:sz w:val="24"/>
          <w:szCs w:val="24"/>
          <w:shd w:val="clear" w:color="auto" w:fill="FFFFFF"/>
          <w:lang w:val="tr-TR" w:eastAsia="ru-RU"/>
        </w:rPr>
        <w:lastRenderedPageBreak/>
        <w:t>Tablo 1.</w:t>
      </w:r>
      <w:r w:rsidRPr="007D507F">
        <w:rPr>
          <w:rFonts w:ascii="Times New Roman" w:eastAsia="Times New Roman" w:hAnsi="Times New Roman" w:cs="Times New Roman"/>
          <w:color w:val="000000" w:themeColor="text1"/>
          <w:sz w:val="24"/>
          <w:szCs w:val="24"/>
          <w:shd w:val="clear" w:color="auto" w:fill="FFFFFF"/>
          <w:lang w:val="tr-TR" w:eastAsia="ru-RU"/>
        </w:rPr>
        <w:t xml:space="preserve"> Sağlık harcamalarını</w:t>
      </w:r>
      <w:r w:rsidR="0050107D" w:rsidRPr="007D507F">
        <w:rPr>
          <w:rFonts w:ascii="Times New Roman" w:eastAsia="Times New Roman" w:hAnsi="Times New Roman" w:cs="Times New Roman"/>
          <w:color w:val="000000" w:themeColor="text1"/>
          <w:sz w:val="24"/>
          <w:szCs w:val="24"/>
          <w:shd w:val="clear" w:color="auto" w:fill="FFFFFF"/>
          <w:lang w:val="tr-TR" w:eastAsia="ru-RU"/>
        </w:rPr>
        <w:t xml:space="preserve">n </w:t>
      </w:r>
      <w:r w:rsidRPr="007D507F">
        <w:rPr>
          <w:rFonts w:ascii="Times New Roman" w:eastAsia="Times New Roman" w:hAnsi="Times New Roman" w:cs="Times New Roman"/>
          <w:color w:val="000000" w:themeColor="text1"/>
          <w:sz w:val="24"/>
          <w:szCs w:val="24"/>
          <w:shd w:val="clear" w:color="auto" w:fill="FFFFFF"/>
          <w:lang w:val="tr-TR" w:eastAsia="ru-RU"/>
        </w:rPr>
        <w:t>GSYİH içindeki payı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850"/>
        <w:gridCol w:w="709"/>
        <w:gridCol w:w="851"/>
        <w:gridCol w:w="708"/>
        <w:gridCol w:w="709"/>
        <w:gridCol w:w="709"/>
        <w:gridCol w:w="709"/>
        <w:gridCol w:w="708"/>
        <w:gridCol w:w="1418"/>
      </w:tblGrid>
      <w:tr w:rsidR="00FB70D0" w:rsidRPr="007F3F6C" w14:paraId="6F69DA9A" w14:textId="77777777" w:rsidTr="00FB70D0">
        <w:trPr>
          <w:trHeight w:val="766"/>
        </w:trPr>
        <w:tc>
          <w:tcPr>
            <w:tcW w:w="1985" w:type="dxa"/>
            <w:tcBorders>
              <w:top w:val="single" w:sz="4" w:space="0" w:color="auto"/>
              <w:left w:val="nil"/>
              <w:bottom w:val="single" w:sz="4" w:space="0" w:color="auto"/>
            </w:tcBorders>
            <w:shd w:val="clear" w:color="auto" w:fill="auto"/>
            <w:noWrap/>
            <w:vAlign w:val="center"/>
            <w:hideMark/>
          </w:tcPr>
          <w:p w14:paraId="325DFE90" w14:textId="77777777" w:rsidR="00FB70D0" w:rsidRPr="007F3F6C" w:rsidRDefault="00FB70D0" w:rsidP="00FB70D0">
            <w:pPr>
              <w:spacing w:after="0"/>
              <w:rPr>
                <w:rFonts w:ascii="Times New Roman" w:eastAsia="Times New Roman" w:hAnsi="Times New Roman" w:cs="Times New Roman"/>
                <w:b/>
                <w:szCs w:val="20"/>
                <w:lang w:eastAsia="ru-RU"/>
              </w:rPr>
            </w:pPr>
            <w:r>
              <w:rPr>
                <w:rFonts w:ascii="Times New Roman" w:eastAsia="Times New Roman" w:hAnsi="Times New Roman" w:cs="Times New Roman"/>
                <w:b/>
                <w:szCs w:val="20"/>
                <w:lang w:val="tr-TR" w:eastAsia="ru-RU"/>
              </w:rPr>
              <w:t>Ana kaynak</w:t>
            </w:r>
          </w:p>
        </w:tc>
        <w:tc>
          <w:tcPr>
            <w:tcW w:w="850" w:type="dxa"/>
            <w:tcBorders>
              <w:top w:val="single" w:sz="4" w:space="0" w:color="auto"/>
              <w:bottom w:val="single" w:sz="4" w:space="0" w:color="auto"/>
            </w:tcBorders>
            <w:shd w:val="clear" w:color="auto" w:fill="auto"/>
            <w:noWrap/>
            <w:vAlign w:val="center"/>
            <w:hideMark/>
          </w:tcPr>
          <w:p w14:paraId="5AFB9E7F" w14:textId="77777777" w:rsidR="00FB70D0" w:rsidRPr="007F3F6C" w:rsidRDefault="00FB70D0" w:rsidP="00FB70D0">
            <w:pPr>
              <w:spacing w:after="0"/>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 xml:space="preserve">2009 </w:t>
            </w:r>
          </w:p>
        </w:tc>
        <w:tc>
          <w:tcPr>
            <w:tcW w:w="709" w:type="dxa"/>
            <w:tcBorders>
              <w:top w:val="single" w:sz="4" w:space="0" w:color="auto"/>
              <w:bottom w:val="single" w:sz="4" w:space="0" w:color="auto"/>
            </w:tcBorders>
            <w:shd w:val="clear" w:color="auto" w:fill="auto"/>
            <w:noWrap/>
            <w:vAlign w:val="center"/>
            <w:hideMark/>
          </w:tcPr>
          <w:p w14:paraId="01FC5338" w14:textId="77777777" w:rsidR="00FB70D0" w:rsidRPr="007F3F6C" w:rsidRDefault="00FB70D0" w:rsidP="00FB70D0">
            <w:pPr>
              <w:spacing w:after="0"/>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2010</w:t>
            </w:r>
          </w:p>
        </w:tc>
        <w:tc>
          <w:tcPr>
            <w:tcW w:w="851" w:type="dxa"/>
            <w:tcBorders>
              <w:top w:val="single" w:sz="4" w:space="0" w:color="auto"/>
              <w:bottom w:val="single" w:sz="4" w:space="0" w:color="auto"/>
            </w:tcBorders>
            <w:shd w:val="clear" w:color="auto" w:fill="auto"/>
            <w:noWrap/>
            <w:vAlign w:val="center"/>
            <w:hideMark/>
          </w:tcPr>
          <w:p w14:paraId="48114018" w14:textId="77777777" w:rsidR="00FB70D0" w:rsidRPr="007F3F6C" w:rsidRDefault="00FB70D0" w:rsidP="00FB70D0">
            <w:pPr>
              <w:spacing w:after="0"/>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2011</w:t>
            </w:r>
          </w:p>
        </w:tc>
        <w:tc>
          <w:tcPr>
            <w:tcW w:w="708" w:type="dxa"/>
            <w:tcBorders>
              <w:top w:val="single" w:sz="4" w:space="0" w:color="auto"/>
              <w:bottom w:val="single" w:sz="4" w:space="0" w:color="auto"/>
            </w:tcBorders>
            <w:shd w:val="clear" w:color="auto" w:fill="auto"/>
            <w:noWrap/>
            <w:vAlign w:val="center"/>
            <w:hideMark/>
          </w:tcPr>
          <w:p w14:paraId="58D4ADC3" w14:textId="77777777" w:rsidR="00FB70D0" w:rsidRPr="007F3F6C" w:rsidRDefault="00FB70D0" w:rsidP="00FB70D0">
            <w:pPr>
              <w:spacing w:after="0"/>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2012</w:t>
            </w:r>
          </w:p>
        </w:tc>
        <w:tc>
          <w:tcPr>
            <w:tcW w:w="709" w:type="dxa"/>
            <w:tcBorders>
              <w:top w:val="single" w:sz="4" w:space="0" w:color="auto"/>
              <w:bottom w:val="single" w:sz="4" w:space="0" w:color="auto"/>
            </w:tcBorders>
            <w:shd w:val="clear" w:color="auto" w:fill="auto"/>
            <w:noWrap/>
            <w:vAlign w:val="center"/>
            <w:hideMark/>
          </w:tcPr>
          <w:p w14:paraId="721B08E6" w14:textId="77777777" w:rsidR="00FB70D0" w:rsidRPr="007F3F6C" w:rsidRDefault="00FB70D0" w:rsidP="00FB70D0">
            <w:pPr>
              <w:spacing w:after="0"/>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2013</w:t>
            </w:r>
          </w:p>
        </w:tc>
        <w:tc>
          <w:tcPr>
            <w:tcW w:w="709" w:type="dxa"/>
            <w:tcBorders>
              <w:top w:val="single" w:sz="4" w:space="0" w:color="auto"/>
              <w:bottom w:val="single" w:sz="4" w:space="0" w:color="auto"/>
            </w:tcBorders>
            <w:shd w:val="clear" w:color="auto" w:fill="auto"/>
            <w:noWrap/>
            <w:vAlign w:val="center"/>
            <w:hideMark/>
          </w:tcPr>
          <w:p w14:paraId="12315173" w14:textId="77777777" w:rsidR="00FB70D0" w:rsidRPr="007F3F6C" w:rsidRDefault="00FB70D0" w:rsidP="00FB70D0">
            <w:pPr>
              <w:spacing w:after="0"/>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2014</w:t>
            </w:r>
          </w:p>
        </w:tc>
        <w:tc>
          <w:tcPr>
            <w:tcW w:w="709" w:type="dxa"/>
            <w:tcBorders>
              <w:top w:val="single" w:sz="4" w:space="0" w:color="auto"/>
              <w:bottom w:val="single" w:sz="4" w:space="0" w:color="auto"/>
            </w:tcBorders>
            <w:shd w:val="clear" w:color="auto" w:fill="auto"/>
            <w:noWrap/>
            <w:vAlign w:val="center"/>
            <w:hideMark/>
          </w:tcPr>
          <w:p w14:paraId="090E5FDA" w14:textId="77777777" w:rsidR="00FB70D0" w:rsidRPr="007F3F6C" w:rsidRDefault="00FB70D0" w:rsidP="00FB70D0">
            <w:pPr>
              <w:spacing w:after="0"/>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2015</w:t>
            </w:r>
          </w:p>
        </w:tc>
        <w:tc>
          <w:tcPr>
            <w:tcW w:w="708" w:type="dxa"/>
            <w:tcBorders>
              <w:top w:val="single" w:sz="4" w:space="0" w:color="auto"/>
              <w:bottom w:val="single" w:sz="4" w:space="0" w:color="auto"/>
            </w:tcBorders>
            <w:shd w:val="clear" w:color="auto" w:fill="auto"/>
            <w:noWrap/>
            <w:vAlign w:val="center"/>
            <w:hideMark/>
          </w:tcPr>
          <w:p w14:paraId="077FF515" w14:textId="77777777" w:rsidR="00FB70D0" w:rsidRPr="007F3F6C" w:rsidRDefault="00FB70D0" w:rsidP="00FB70D0">
            <w:pPr>
              <w:spacing w:after="0"/>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2019</w:t>
            </w:r>
          </w:p>
        </w:tc>
        <w:tc>
          <w:tcPr>
            <w:tcW w:w="1418" w:type="dxa"/>
            <w:tcBorders>
              <w:top w:val="single" w:sz="4" w:space="0" w:color="auto"/>
              <w:bottom w:val="single" w:sz="4" w:space="0" w:color="auto"/>
              <w:right w:val="nil"/>
            </w:tcBorders>
            <w:vAlign w:val="center"/>
          </w:tcPr>
          <w:p w14:paraId="52E9D3A9" w14:textId="77777777" w:rsidR="00FB70D0" w:rsidRPr="005466AD" w:rsidRDefault="00FB70D0" w:rsidP="00FB70D0">
            <w:pPr>
              <w:spacing w:after="0"/>
              <w:rPr>
                <w:rFonts w:ascii="Times New Roman" w:hAnsi="Times New Roman" w:cs="Times New Roman"/>
                <w:b/>
                <w:szCs w:val="20"/>
                <w:lang w:val="tr-TR"/>
              </w:rPr>
            </w:pPr>
            <w:r>
              <w:rPr>
                <w:rFonts w:ascii="Times New Roman" w:hAnsi="Times New Roman" w:cs="Times New Roman"/>
                <w:b/>
                <w:szCs w:val="20"/>
              </w:rPr>
              <w:t xml:space="preserve">2019 </w:t>
            </w:r>
            <w:r>
              <w:rPr>
                <w:rFonts w:ascii="Times New Roman" w:hAnsi="Times New Roman" w:cs="Times New Roman"/>
                <w:b/>
                <w:szCs w:val="20"/>
                <w:lang w:val="tr-TR"/>
              </w:rPr>
              <w:t>y</w:t>
            </w:r>
            <w:r>
              <w:rPr>
                <w:rFonts w:ascii="Times New Roman" w:hAnsi="Times New Roman" w:cs="Times New Roman"/>
                <w:b/>
                <w:szCs w:val="20"/>
              </w:rPr>
              <w:t xml:space="preserve">. </w:t>
            </w:r>
            <w:r>
              <w:rPr>
                <w:rFonts w:ascii="Times New Roman" w:hAnsi="Times New Roman" w:cs="Times New Roman"/>
                <w:b/>
                <w:szCs w:val="20"/>
                <w:lang w:val="tr-TR"/>
              </w:rPr>
              <w:t xml:space="preserve">2009 y. göre </w:t>
            </w:r>
            <w:r w:rsidRPr="007F3F6C">
              <w:rPr>
                <w:rFonts w:ascii="Times New Roman" w:hAnsi="Times New Roman" w:cs="Times New Roman"/>
                <w:b/>
                <w:szCs w:val="20"/>
              </w:rPr>
              <w:t xml:space="preserve">% </w:t>
            </w:r>
            <w:r>
              <w:rPr>
                <w:rFonts w:ascii="Times New Roman" w:hAnsi="Times New Roman" w:cs="Times New Roman"/>
                <w:b/>
                <w:szCs w:val="20"/>
                <w:lang w:val="tr-TR"/>
              </w:rPr>
              <w:t>değişimi</w:t>
            </w:r>
          </w:p>
        </w:tc>
      </w:tr>
      <w:tr w:rsidR="00FB70D0" w:rsidRPr="007F3F6C" w14:paraId="699F4EBF" w14:textId="77777777" w:rsidTr="00FB70D0">
        <w:trPr>
          <w:trHeight w:val="334"/>
        </w:trPr>
        <w:tc>
          <w:tcPr>
            <w:tcW w:w="1985" w:type="dxa"/>
            <w:tcBorders>
              <w:top w:val="single" w:sz="4" w:space="0" w:color="auto"/>
              <w:left w:val="nil"/>
            </w:tcBorders>
            <w:shd w:val="clear" w:color="auto" w:fill="auto"/>
            <w:noWrap/>
            <w:vAlign w:val="center"/>
            <w:hideMark/>
          </w:tcPr>
          <w:p w14:paraId="4AF4287A" w14:textId="77777777" w:rsidR="00FB70D0" w:rsidRPr="004060A3" w:rsidRDefault="00FB70D0" w:rsidP="00FB70D0">
            <w:pPr>
              <w:spacing w:after="0"/>
              <w:rPr>
                <w:rFonts w:ascii="Times New Roman" w:eastAsia="Times New Roman" w:hAnsi="Times New Roman" w:cs="Times New Roman"/>
                <w:lang w:val="tr-TR" w:eastAsia="ru-RU"/>
              </w:rPr>
            </w:pPr>
            <w:r>
              <w:rPr>
                <w:rFonts w:ascii="Times New Roman" w:eastAsia="Times New Roman" w:hAnsi="Times New Roman" w:cs="Times New Roman"/>
                <w:lang w:val="tr-TR" w:eastAsia="ru-RU"/>
              </w:rPr>
              <w:t xml:space="preserve">Bütçe </w:t>
            </w:r>
          </w:p>
        </w:tc>
        <w:tc>
          <w:tcPr>
            <w:tcW w:w="850" w:type="dxa"/>
            <w:tcBorders>
              <w:top w:val="single" w:sz="4" w:space="0" w:color="auto"/>
            </w:tcBorders>
            <w:shd w:val="clear" w:color="auto" w:fill="auto"/>
            <w:vAlign w:val="center"/>
          </w:tcPr>
          <w:p w14:paraId="13C1A4C4"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2,0</w:t>
            </w:r>
          </w:p>
        </w:tc>
        <w:tc>
          <w:tcPr>
            <w:tcW w:w="709" w:type="dxa"/>
            <w:tcBorders>
              <w:top w:val="single" w:sz="4" w:space="0" w:color="auto"/>
            </w:tcBorders>
            <w:shd w:val="clear" w:color="auto" w:fill="auto"/>
            <w:vAlign w:val="center"/>
          </w:tcPr>
          <w:p w14:paraId="06DAC1E2"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1,9</w:t>
            </w:r>
          </w:p>
        </w:tc>
        <w:tc>
          <w:tcPr>
            <w:tcW w:w="851" w:type="dxa"/>
            <w:tcBorders>
              <w:top w:val="single" w:sz="4" w:space="0" w:color="auto"/>
            </w:tcBorders>
            <w:shd w:val="clear" w:color="auto" w:fill="auto"/>
            <w:vAlign w:val="center"/>
          </w:tcPr>
          <w:p w14:paraId="114CA3F1"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2,1</w:t>
            </w:r>
          </w:p>
        </w:tc>
        <w:tc>
          <w:tcPr>
            <w:tcW w:w="708" w:type="dxa"/>
            <w:tcBorders>
              <w:top w:val="single" w:sz="4" w:space="0" w:color="auto"/>
            </w:tcBorders>
            <w:shd w:val="clear" w:color="auto" w:fill="auto"/>
            <w:vAlign w:val="center"/>
          </w:tcPr>
          <w:p w14:paraId="443A07CD"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2,8</w:t>
            </w:r>
          </w:p>
        </w:tc>
        <w:tc>
          <w:tcPr>
            <w:tcW w:w="709" w:type="dxa"/>
            <w:tcBorders>
              <w:top w:val="single" w:sz="4" w:space="0" w:color="auto"/>
            </w:tcBorders>
            <w:shd w:val="clear" w:color="auto" w:fill="auto"/>
            <w:vAlign w:val="center"/>
          </w:tcPr>
          <w:p w14:paraId="014A269B"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2,6</w:t>
            </w:r>
          </w:p>
        </w:tc>
        <w:tc>
          <w:tcPr>
            <w:tcW w:w="709" w:type="dxa"/>
            <w:tcBorders>
              <w:top w:val="single" w:sz="4" w:space="0" w:color="auto"/>
            </w:tcBorders>
            <w:shd w:val="clear" w:color="auto" w:fill="auto"/>
            <w:vAlign w:val="center"/>
          </w:tcPr>
          <w:p w14:paraId="14B7C7B3"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2,1</w:t>
            </w:r>
          </w:p>
        </w:tc>
        <w:tc>
          <w:tcPr>
            <w:tcW w:w="709" w:type="dxa"/>
            <w:tcBorders>
              <w:top w:val="single" w:sz="4" w:space="0" w:color="auto"/>
            </w:tcBorders>
            <w:shd w:val="clear" w:color="auto" w:fill="auto"/>
            <w:vAlign w:val="center"/>
          </w:tcPr>
          <w:p w14:paraId="6974EB21"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2,02</w:t>
            </w:r>
          </w:p>
        </w:tc>
        <w:tc>
          <w:tcPr>
            <w:tcW w:w="708" w:type="dxa"/>
            <w:tcBorders>
              <w:top w:val="single" w:sz="4" w:space="0" w:color="auto"/>
            </w:tcBorders>
            <w:shd w:val="clear" w:color="auto" w:fill="auto"/>
            <w:vAlign w:val="center"/>
          </w:tcPr>
          <w:p w14:paraId="456D32CF"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2,1</w:t>
            </w:r>
          </w:p>
        </w:tc>
        <w:tc>
          <w:tcPr>
            <w:tcW w:w="1418" w:type="dxa"/>
            <w:tcBorders>
              <w:top w:val="single" w:sz="4" w:space="0" w:color="auto"/>
              <w:right w:val="nil"/>
            </w:tcBorders>
            <w:shd w:val="clear" w:color="auto" w:fill="auto"/>
            <w:vAlign w:val="center"/>
          </w:tcPr>
          <w:p w14:paraId="0942FAE1"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+0,1</w:t>
            </w:r>
          </w:p>
        </w:tc>
      </w:tr>
      <w:tr w:rsidR="00FB70D0" w:rsidRPr="007F3F6C" w14:paraId="1D3513B2" w14:textId="77777777" w:rsidTr="00FB70D0">
        <w:trPr>
          <w:trHeight w:val="319"/>
        </w:trPr>
        <w:tc>
          <w:tcPr>
            <w:tcW w:w="1985" w:type="dxa"/>
            <w:tcBorders>
              <w:left w:val="nil"/>
            </w:tcBorders>
            <w:shd w:val="clear" w:color="auto" w:fill="auto"/>
            <w:noWrap/>
            <w:vAlign w:val="center"/>
            <w:hideMark/>
          </w:tcPr>
          <w:p w14:paraId="1F9CDA64" w14:textId="77777777" w:rsidR="00FB70D0" w:rsidRPr="007F3F6C" w:rsidRDefault="00FB70D0" w:rsidP="00FB70D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Zorunlu Sağlık Sigorta</w:t>
            </w:r>
            <w:r>
              <w:rPr>
                <w:rFonts w:ascii="Times New Roman" w:eastAsia="Times New Roman" w:hAnsi="Times New Roman" w:cs="Times New Roman"/>
                <w:lang w:val="tr-TR" w:eastAsia="ru-RU"/>
              </w:rPr>
              <w:t>sı</w:t>
            </w:r>
            <w:r w:rsidRPr="004060A3">
              <w:rPr>
                <w:rFonts w:ascii="Times New Roman" w:eastAsia="Times New Roman" w:hAnsi="Times New Roman" w:cs="Times New Roman"/>
                <w:lang w:eastAsia="ru-RU"/>
              </w:rPr>
              <w:t xml:space="preserve"> Fonu</w:t>
            </w:r>
          </w:p>
        </w:tc>
        <w:tc>
          <w:tcPr>
            <w:tcW w:w="850" w:type="dxa"/>
            <w:shd w:val="clear" w:color="auto" w:fill="auto"/>
            <w:vAlign w:val="center"/>
          </w:tcPr>
          <w:p w14:paraId="5F730279"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0,38</w:t>
            </w:r>
          </w:p>
        </w:tc>
        <w:tc>
          <w:tcPr>
            <w:tcW w:w="709" w:type="dxa"/>
            <w:shd w:val="clear" w:color="auto" w:fill="auto"/>
            <w:vAlign w:val="center"/>
          </w:tcPr>
          <w:p w14:paraId="5A32B51F"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0,35</w:t>
            </w:r>
          </w:p>
        </w:tc>
        <w:tc>
          <w:tcPr>
            <w:tcW w:w="851" w:type="dxa"/>
            <w:shd w:val="clear" w:color="auto" w:fill="auto"/>
            <w:vAlign w:val="center"/>
          </w:tcPr>
          <w:p w14:paraId="665B45F1"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0,37</w:t>
            </w:r>
          </w:p>
        </w:tc>
        <w:tc>
          <w:tcPr>
            <w:tcW w:w="708" w:type="dxa"/>
            <w:shd w:val="clear" w:color="auto" w:fill="auto"/>
            <w:vAlign w:val="center"/>
          </w:tcPr>
          <w:p w14:paraId="56972D07"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0,45</w:t>
            </w:r>
          </w:p>
        </w:tc>
        <w:tc>
          <w:tcPr>
            <w:tcW w:w="709" w:type="dxa"/>
            <w:shd w:val="clear" w:color="auto" w:fill="auto"/>
            <w:vAlign w:val="center"/>
          </w:tcPr>
          <w:p w14:paraId="00A756C4"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0,43</w:t>
            </w:r>
          </w:p>
        </w:tc>
        <w:tc>
          <w:tcPr>
            <w:tcW w:w="709" w:type="dxa"/>
            <w:shd w:val="clear" w:color="auto" w:fill="auto"/>
            <w:vAlign w:val="center"/>
          </w:tcPr>
          <w:p w14:paraId="2EB83BED"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0,37</w:t>
            </w:r>
          </w:p>
        </w:tc>
        <w:tc>
          <w:tcPr>
            <w:tcW w:w="709" w:type="dxa"/>
            <w:shd w:val="clear" w:color="auto" w:fill="auto"/>
            <w:vAlign w:val="center"/>
          </w:tcPr>
          <w:p w14:paraId="6CDFB8B4"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0,39</w:t>
            </w:r>
          </w:p>
        </w:tc>
        <w:tc>
          <w:tcPr>
            <w:tcW w:w="708" w:type="dxa"/>
            <w:shd w:val="clear" w:color="auto" w:fill="auto"/>
            <w:vAlign w:val="center"/>
          </w:tcPr>
          <w:p w14:paraId="5DBDD347"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0,47</w:t>
            </w:r>
          </w:p>
        </w:tc>
        <w:tc>
          <w:tcPr>
            <w:tcW w:w="1418" w:type="dxa"/>
            <w:tcBorders>
              <w:right w:val="nil"/>
            </w:tcBorders>
            <w:shd w:val="clear" w:color="auto" w:fill="auto"/>
            <w:vAlign w:val="center"/>
          </w:tcPr>
          <w:p w14:paraId="565F3304"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+0,09</w:t>
            </w:r>
          </w:p>
        </w:tc>
      </w:tr>
      <w:tr w:rsidR="00FB70D0" w:rsidRPr="007F3F6C" w14:paraId="343B485A" w14:textId="77777777" w:rsidTr="00FB70D0">
        <w:trPr>
          <w:trHeight w:val="319"/>
        </w:trPr>
        <w:tc>
          <w:tcPr>
            <w:tcW w:w="1985" w:type="dxa"/>
            <w:tcBorders>
              <w:left w:val="nil"/>
            </w:tcBorders>
            <w:shd w:val="clear" w:color="auto" w:fill="auto"/>
            <w:noWrap/>
            <w:vAlign w:val="center"/>
            <w:hideMark/>
          </w:tcPr>
          <w:p w14:paraId="18415514" w14:textId="77777777" w:rsidR="00FB70D0" w:rsidRPr="004060A3" w:rsidRDefault="00FB70D0" w:rsidP="00FB70D0">
            <w:pPr>
              <w:spacing w:after="0"/>
              <w:rPr>
                <w:rFonts w:ascii="Times New Roman" w:eastAsia="Times New Roman" w:hAnsi="Times New Roman" w:cs="Times New Roman"/>
                <w:lang w:val="tr-TR" w:eastAsia="ru-RU"/>
              </w:rPr>
            </w:pPr>
            <w:r>
              <w:rPr>
                <w:rFonts w:ascii="Times New Roman" w:eastAsia="Times New Roman" w:hAnsi="Times New Roman" w:cs="Times New Roman"/>
                <w:lang w:val="tr-TR" w:eastAsia="ru-RU"/>
              </w:rPr>
              <w:t xml:space="preserve">Özel fonlar </w:t>
            </w:r>
          </w:p>
        </w:tc>
        <w:tc>
          <w:tcPr>
            <w:tcW w:w="850" w:type="dxa"/>
            <w:shd w:val="clear" w:color="auto" w:fill="auto"/>
            <w:vAlign w:val="center"/>
          </w:tcPr>
          <w:p w14:paraId="1D69A9B3"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0,16</w:t>
            </w:r>
          </w:p>
        </w:tc>
        <w:tc>
          <w:tcPr>
            <w:tcW w:w="709" w:type="dxa"/>
            <w:shd w:val="clear" w:color="auto" w:fill="auto"/>
            <w:vAlign w:val="center"/>
          </w:tcPr>
          <w:p w14:paraId="799FEBCD"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0,16</w:t>
            </w:r>
          </w:p>
        </w:tc>
        <w:tc>
          <w:tcPr>
            <w:tcW w:w="851" w:type="dxa"/>
            <w:shd w:val="clear" w:color="auto" w:fill="auto"/>
            <w:vAlign w:val="center"/>
          </w:tcPr>
          <w:p w14:paraId="07260506"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0,15</w:t>
            </w:r>
          </w:p>
        </w:tc>
        <w:tc>
          <w:tcPr>
            <w:tcW w:w="708" w:type="dxa"/>
            <w:shd w:val="clear" w:color="auto" w:fill="auto"/>
            <w:vAlign w:val="center"/>
          </w:tcPr>
          <w:p w14:paraId="589B59DF"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0,2</w:t>
            </w:r>
          </w:p>
        </w:tc>
        <w:tc>
          <w:tcPr>
            <w:tcW w:w="709" w:type="dxa"/>
            <w:shd w:val="clear" w:color="auto" w:fill="auto"/>
            <w:vAlign w:val="center"/>
          </w:tcPr>
          <w:p w14:paraId="5AD39DAC"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0,2</w:t>
            </w:r>
          </w:p>
        </w:tc>
        <w:tc>
          <w:tcPr>
            <w:tcW w:w="709" w:type="dxa"/>
            <w:shd w:val="clear" w:color="auto" w:fill="auto"/>
            <w:vAlign w:val="center"/>
          </w:tcPr>
          <w:p w14:paraId="0354AB47"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0,2</w:t>
            </w:r>
          </w:p>
        </w:tc>
        <w:tc>
          <w:tcPr>
            <w:tcW w:w="709" w:type="dxa"/>
            <w:shd w:val="clear" w:color="auto" w:fill="auto"/>
            <w:vAlign w:val="center"/>
          </w:tcPr>
          <w:p w14:paraId="623B6376"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0,9</w:t>
            </w:r>
          </w:p>
        </w:tc>
        <w:tc>
          <w:tcPr>
            <w:tcW w:w="708" w:type="dxa"/>
            <w:shd w:val="clear" w:color="auto" w:fill="auto"/>
            <w:vAlign w:val="center"/>
          </w:tcPr>
          <w:p w14:paraId="1B638734"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0,43</w:t>
            </w:r>
          </w:p>
        </w:tc>
        <w:tc>
          <w:tcPr>
            <w:tcW w:w="1418" w:type="dxa"/>
            <w:tcBorders>
              <w:right w:val="nil"/>
            </w:tcBorders>
            <w:shd w:val="clear" w:color="auto" w:fill="auto"/>
            <w:vAlign w:val="center"/>
          </w:tcPr>
          <w:p w14:paraId="54469E7F"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+0,27</w:t>
            </w:r>
          </w:p>
        </w:tc>
      </w:tr>
      <w:tr w:rsidR="00FB70D0" w:rsidRPr="007F3F6C" w14:paraId="279EB92A" w14:textId="77777777" w:rsidTr="00FB70D0">
        <w:trPr>
          <w:trHeight w:val="204"/>
        </w:trPr>
        <w:tc>
          <w:tcPr>
            <w:tcW w:w="1985" w:type="dxa"/>
            <w:tcBorders>
              <w:left w:val="nil"/>
              <w:bottom w:val="single" w:sz="4" w:space="0" w:color="auto"/>
            </w:tcBorders>
            <w:shd w:val="clear" w:color="auto" w:fill="auto"/>
            <w:noWrap/>
            <w:vAlign w:val="center"/>
            <w:hideMark/>
          </w:tcPr>
          <w:p w14:paraId="615372D8" w14:textId="77777777" w:rsidR="00FB70D0" w:rsidRPr="004060A3" w:rsidRDefault="00FB70D0" w:rsidP="00FB70D0">
            <w:pPr>
              <w:spacing w:after="0"/>
              <w:rPr>
                <w:rFonts w:ascii="Times New Roman" w:eastAsia="Times New Roman" w:hAnsi="Times New Roman" w:cs="Times New Roman"/>
                <w:lang w:val="tr-TR" w:eastAsia="ru-RU"/>
              </w:rPr>
            </w:pPr>
            <w:r>
              <w:rPr>
                <w:rFonts w:ascii="Times New Roman" w:eastAsia="Times New Roman" w:hAnsi="Times New Roman" w:cs="Times New Roman"/>
                <w:lang w:val="tr-TR" w:eastAsia="ru-RU"/>
              </w:rPr>
              <w:t>Toplam</w:t>
            </w:r>
          </w:p>
        </w:tc>
        <w:tc>
          <w:tcPr>
            <w:tcW w:w="850" w:type="dxa"/>
            <w:shd w:val="clear" w:color="auto" w:fill="auto"/>
            <w:vAlign w:val="center"/>
          </w:tcPr>
          <w:p w14:paraId="5969B39D"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2,54</w:t>
            </w:r>
          </w:p>
        </w:tc>
        <w:tc>
          <w:tcPr>
            <w:tcW w:w="709" w:type="dxa"/>
            <w:shd w:val="clear" w:color="auto" w:fill="auto"/>
            <w:vAlign w:val="center"/>
          </w:tcPr>
          <w:p w14:paraId="471C847F"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2,41</w:t>
            </w:r>
          </w:p>
        </w:tc>
        <w:tc>
          <w:tcPr>
            <w:tcW w:w="851" w:type="dxa"/>
            <w:shd w:val="clear" w:color="auto" w:fill="auto"/>
            <w:vAlign w:val="center"/>
          </w:tcPr>
          <w:p w14:paraId="2C13DCA5"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2,62</w:t>
            </w:r>
          </w:p>
        </w:tc>
        <w:tc>
          <w:tcPr>
            <w:tcW w:w="708" w:type="dxa"/>
            <w:shd w:val="clear" w:color="auto" w:fill="auto"/>
            <w:vAlign w:val="center"/>
          </w:tcPr>
          <w:p w14:paraId="11047DFC"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3,45</w:t>
            </w:r>
          </w:p>
        </w:tc>
        <w:tc>
          <w:tcPr>
            <w:tcW w:w="709" w:type="dxa"/>
            <w:shd w:val="clear" w:color="auto" w:fill="auto"/>
            <w:vAlign w:val="center"/>
          </w:tcPr>
          <w:p w14:paraId="7461F06E"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3,23</w:t>
            </w:r>
          </w:p>
        </w:tc>
        <w:tc>
          <w:tcPr>
            <w:tcW w:w="709" w:type="dxa"/>
            <w:shd w:val="clear" w:color="auto" w:fill="auto"/>
            <w:vAlign w:val="center"/>
          </w:tcPr>
          <w:p w14:paraId="6C519B87"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2,67</w:t>
            </w:r>
          </w:p>
        </w:tc>
        <w:tc>
          <w:tcPr>
            <w:tcW w:w="709" w:type="dxa"/>
            <w:shd w:val="clear" w:color="auto" w:fill="auto"/>
            <w:vAlign w:val="center"/>
          </w:tcPr>
          <w:p w14:paraId="11C875B8"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3,31</w:t>
            </w:r>
          </w:p>
        </w:tc>
        <w:tc>
          <w:tcPr>
            <w:tcW w:w="708" w:type="dxa"/>
            <w:shd w:val="clear" w:color="auto" w:fill="auto"/>
            <w:vAlign w:val="center"/>
          </w:tcPr>
          <w:p w14:paraId="5258C811"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3,0</w:t>
            </w:r>
          </w:p>
        </w:tc>
        <w:tc>
          <w:tcPr>
            <w:tcW w:w="1418" w:type="dxa"/>
            <w:tcBorders>
              <w:bottom w:val="single" w:sz="4" w:space="0" w:color="auto"/>
              <w:right w:val="nil"/>
            </w:tcBorders>
            <w:shd w:val="clear" w:color="auto" w:fill="auto"/>
            <w:vAlign w:val="center"/>
          </w:tcPr>
          <w:p w14:paraId="3300252B" w14:textId="77777777" w:rsidR="00FB70D0" w:rsidRPr="007F3F6C" w:rsidRDefault="00FB70D0" w:rsidP="00FB70D0">
            <w:pPr>
              <w:spacing w:after="0"/>
              <w:rPr>
                <w:rFonts w:ascii="Times New Roman" w:hAnsi="Times New Roman" w:cs="Times New Roman"/>
              </w:rPr>
            </w:pPr>
            <w:r w:rsidRPr="007F3F6C">
              <w:rPr>
                <w:rFonts w:ascii="Times New Roman" w:hAnsi="Times New Roman" w:cs="Times New Roman"/>
              </w:rPr>
              <w:t>+0,46</w:t>
            </w:r>
          </w:p>
        </w:tc>
      </w:tr>
    </w:tbl>
    <w:p w14:paraId="0F32523C" w14:textId="77777777" w:rsidR="00FB70D0" w:rsidRPr="002A77F4" w:rsidRDefault="00FB70D0" w:rsidP="007D507F">
      <w:pPr>
        <w:shd w:val="clear" w:color="auto" w:fill="FFFFFF"/>
        <w:spacing w:before="60" w:after="0" w:line="240" w:lineRule="auto"/>
        <w:jc w:val="both"/>
        <w:rPr>
          <w:rFonts w:ascii="Times New Roman" w:eastAsia="Times New Roman" w:hAnsi="Times New Roman" w:cs="Times New Roman"/>
          <w:i/>
          <w:shd w:val="clear" w:color="auto" w:fill="FFFFFF"/>
          <w:lang w:val="tr-TR" w:eastAsia="ru-RU"/>
        </w:rPr>
      </w:pPr>
      <w:r w:rsidRPr="002A77F4">
        <w:rPr>
          <w:rFonts w:ascii="Times New Roman" w:eastAsia="Times New Roman" w:hAnsi="Times New Roman" w:cs="Times New Roman"/>
          <w:b/>
          <w:i/>
          <w:shd w:val="clear" w:color="auto" w:fill="FFFFFF"/>
          <w:lang w:val="tr-TR" w:eastAsia="ru-RU"/>
        </w:rPr>
        <w:t>Kaynak:</w:t>
      </w:r>
      <w:r w:rsidRPr="002A77F4">
        <w:rPr>
          <w:rFonts w:ascii="Times New Roman" w:eastAsia="Times New Roman" w:hAnsi="Times New Roman" w:cs="Times New Roman"/>
          <w:i/>
          <w:shd w:val="clear" w:color="auto" w:fill="FFFFFF"/>
          <w:lang w:val="tr-TR" w:eastAsia="ru-RU"/>
        </w:rPr>
        <w:t xml:space="preserve"> Tablo, Kırgız Cumhuriyeti Sağlık Bakanlığı’nın 2009-2019 verilerine göre hesaplanmış ve derlenmiştir.</w:t>
      </w:r>
    </w:p>
    <w:p w14:paraId="18897056" w14:textId="61B39D96" w:rsidR="00FB70D0" w:rsidRPr="007D507F" w:rsidRDefault="00FB70D0" w:rsidP="007D507F">
      <w:pPr>
        <w:spacing w:before="120"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Tek Ödeme Sisteminin bütçe kaynaklarının analizinden de anlaşılacağı gibi, bu on yılda devlet bütçesinden elde edilen gelirlerin pa</w:t>
      </w:r>
      <w:r w:rsidR="00BC147D" w:rsidRPr="007D507F">
        <w:rPr>
          <w:rFonts w:ascii="Times New Roman" w:hAnsi="Times New Roman" w:cs="Times New Roman"/>
          <w:sz w:val="24"/>
          <w:szCs w:val="24"/>
          <w:lang w:val="tr-TR"/>
        </w:rPr>
        <w:t xml:space="preserve">yı yalnızca %0,1 </w:t>
      </w:r>
      <w:r w:rsidRPr="007D507F">
        <w:rPr>
          <w:rFonts w:ascii="Times New Roman" w:hAnsi="Times New Roman" w:cs="Times New Roman"/>
          <w:sz w:val="24"/>
          <w:szCs w:val="24"/>
          <w:lang w:val="tr-TR"/>
        </w:rPr>
        <w:t>artmıştır (Tablo 1).</w:t>
      </w:r>
      <w:r w:rsidR="00B34D53" w:rsidRPr="007D507F">
        <w:rPr>
          <w:rFonts w:ascii="Times New Roman" w:hAnsi="Times New Roman" w:cs="Times New Roman"/>
          <w:sz w:val="24"/>
          <w:szCs w:val="24"/>
          <w:lang w:val="tr-TR"/>
        </w:rPr>
        <w:t xml:space="preserve"> </w:t>
      </w:r>
      <w:r w:rsidRPr="007D507F">
        <w:rPr>
          <w:rFonts w:ascii="Times New Roman" w:hAnsi="Times New Roman" w:cs="Times New Roman"/>
          <w:sz w:val="24"/>
          <w:szCs w:val="24"/>
          <w:lang w:val="tr-TR"/>
        </w:rPr>
        <w:t xml:space="preserve">İncelenen on yıl boyunca, çocuklar, emekliler ve devlet desteğine ihtiyaç duyan diğer insan kategorileri gibi sosyal nedenlerle yardım alan vatandaşların sayısının arttığı görülmektedir. Ancak, bu vatandaş kategorilerinin sayısındaki artış, kendilerine ödenen yardımlar için fon miktarında bir </w:t>
      </w:r>
      <w:r w:rsidR="004A4FAC" w:rsidRPr="007D507F">
        <w:rPr>
          <w:rFonts w:ascii="Times New Roman" w:hAnsi="Times New Roman" w:cs="Times New Roman"/>
          <w:sz w:val="24"/>
          <w:szCs w:val="24"/>
          <w:lang w:val="tr-TR"/>
        </w:rPr>
        <w:t>artışa</w:t>
      </w:r>
      <w:r w:rsidR="000C60C3" w:rsidRPr="007D507F">
        <w:rPr>
          <w:rFonts w:ascii="Times New Roman" w:hAnsi="Times New Roman" w:cs="Times New Roman"/>
          <w:sz w:val="24"/>
          <w:szCs w:val="24"/>
          <w:lang w:val="tr-TR"/>
        </w:rPr>
        <w:t xml:space="preserve"> </w:t>
      </w:r>
      <w:r w:rsidRPr="007D507F">
        <w:rPr>
          <w:rFonts w:ascii="Times New Roman" w:hAnsi="Times New Roman" w:cs="Times New Roman"/>
          <w:sz w:val="24"/>
          <w:szCs w:val="24"/>
          <w:lang w:val="tr-TR"/>
        </w:rPr>
        <w:t xml:space="preserve">neden olmamıştır. </w:t>
      </w:r>
    </w:p>
    <w:p w14:paraId="6BA750FB" w14:textId="2A67DFDE" w:rsidR="00FB70D0" w:rsidRPr="007D507F" w:rsidRDefault="001431E4" w:rsidP="007D507F">
      <w:pPr>
        <w:spacing w:after="0" w:line="240" w:lineRule="auto"/>
        <w:ind w:firstLine="567"/>
        <w:jc w:val="both"/>
        <w:rPr>
          <w:rFonts w:ascii="Times New Roman" w:hAnsi="Times New Roman" w:cs="Times New Roman"/>
          <w:sz w:val="24"/>
          <w:szCs w:val="24"/>
          <w:lang w:val="tr-TR"/>
        </w:rPr>
      </w:pPr>
      <w:r w:rsidRPr="007D507F">
        <w:rPr>
          <w:rFonts w:ascii="Times New Roman" w:eastAsia="Times New Roman" w:hAnsi="Times New Roman" w:cs="Times New Roman"/>
          <w:sz w:val="24"/>
          <w:szCs w:val="24"/>
          <w:shd w:val="clear" w:color="auto" w:fill="FFFFFF"/>
          <w:lang w:val="tr-TR"/>
        </w:rPr>
        <w:t xml:space="preserve">Aynı zamanda, </w:t>
      </w:r>
      <w:r w:rsidR="004A4FAC" w:rsidRPr="007D507F">
        <w:rPr>
          <w:rFonts w:ascii="Times New Roman" w:eastAsia="Times New Roman" w:hAnsi="Times New Roman" w:cs="Times New Roman"/>
          <w:sz w:val="24"/>
          <w:szCs w:val="24"/>
          <w:shd w:val="clear" w:color="auto" w:fill="FFFFFF"/>
          <w:lang w:val="tr-TR"/>
        </w:rPr>
        <w:t xml:space="preserve">yukarıdaki paragrafta bahsedilen kategoriye </w:t>
      </w:r>
      <w:r w:rsidR="005F569C" w:rsidRPr="007D507F">
        <w:rPr>
          <w:rFonts w:ascii="Times New Roman" w:eastAsia="Times New Roman" w:hAnsi="Times New Roman" w:cs="Times New Roman"/>
          <w:sz w:val="24"/>
          <w:szCs w:val="24"/>
          <w:shd w:val="clear" w:color="auto" w:fill="FFFFFF"/>
          <w:lang w:val="tr-TR"/>
        </w:rPr>
        <w:t>dâhil</w:t>
      </w:r>
      <w:r w:rsidR="004A4FAC" w:rsidRPr="007D507F">
        <w:rPr>
          <w:rFonts w:ascii="Times New Roman" w:eastAsia="Times New Roman" w:hAnsi="Times New Roman" w:cs="Times New Roman"/>
          <w:sz w:val="24"/>
          <w:szCs w:val="24"/>
          <w:shd w:val="clear" w:color="auto" w:fill="FFFFFF"/>
          <w:lang w:val="tr-TR"/>
        </w:rPr>
        <w:t xml:space="preserve"> olan </w:t>
      </w:r>
      <w:r w:rsidRPr="007D507F">
        <w:rPr>
          <w:rFonts w:ascii="Times New Roman" w:eastAsia="Times New Roman" w:hAnsi="Times New Roman" w:cs="Times New Roman"/>
          <w:sz w:val="24"/>
          <w:szCs w:val="24"/>
          <w:shd w:val="clear" w:color="auto" w:fill="FFFFFF"/>
          <w:lang w:val="tr-TR"/>
        </w:rPr>
        <w:t>nüfus kategorisinin gerçek ihtiyaçları art</w:t>
      </w:r>
      <w:r w:rsidR="004A4FAC" w:rsidRPr="007D507F">
        <w:rPr>
          <w:rFonts w:ascii="Times New Roman" w:eastAsia="Times New Roman" w:hAnsi="Times New Roman" w:cs="Times New Roman"/>
          <w:sz w:val="24"/>
          <w:szCs w:val="24"/>
          <w:shd w:val="clear" w:color="auto" w:fill="FFFFFF"/>
          <w:lang w:val="tr-TR"/>
        </w:rPr>
        <w:t>mıştır.</w:t>
      </w:r>
      <w:r w:rsidRPr="007D507F">
        <w:rPr>
          <w:rFonts w:ascii="Times New Roman" w:eastAsia="Times New Roman" w:hAnsi="Times New Roman" w:cs="Times New Roman"/>
          <w:sz w:val="24"/>
          <w:szCs w:val="24"/>
          <w:shd w:val="clear" w:color="auto" w:fill="FFFFFF"/>
          <w:lang w:val="tr-TR"/>
        </w:rPr>
        <w:t xml:space="preserve"> </w:t>
      </w:r>
      <w:r w:rsidR="00767413" w:rsidRPr="007D507F">
        <w:rPr>
          <w:rFonts w:ascii="Times New Roman" w:eastAsia="Times New Roman" w:hAnsi="Times New Roman" w:cs="Times New Roman"/>
          <w:sz w:val="24"/>
          <w:szCs w:val="24"/>
          <w:shd w:val="clear" w:color="auto" w:fill="FFFFFF"/>
          <w:lang w:val="tr-TR"/>
        </w:rPr>
        <w:t xml:space="preserve">Söz </w:t>
      </w:r>
      <w:r w:rsidR="004A4FAC" w:rsidRPr="007D507F">
        <w:rPr>
          <w:rFonts w:ascii="Times New Roman" w:eastAsia="Times New Roman" w:hAnsi="Times New Roman" w:cs="Times New Roman"/>
          <w:sz w:val="24"/>
          <w:szCs w:val="24"/>
          <w:shd w:val="clear" w:color="auto" w:fill="FFFFFF"/>
          <w:lang w:val="tr-TR"/>
        </w:rPr>
        <w:t>konusu</w:t>
      </w:r>
      <w:r w:rsidR="00BC147D" w:rsidRPr="007D507F">
        <w:rPr>
          <w:rFonts w:ascii="Times New Roman" w:eastAsia="Times New Roman" w:hAnsi="Times New Roman" w:cs="Times New Roman"/>
          <w:sz w:val="24"/>
          <w:szCs w:val="24"/>
          <w:shd w:val="clear" w:color="auto" w:fill="FFFFFF"/>
          <w:lang w:val="tr-TR"/>
        </w:rPr>
        <w:t xml:space="preserve"> </w:t>
      </w:r>
      <w:r w:rsidR="00DA0C21" w:rsidRPr="007D507F">
        <w:rPr>
          <w:rFonts w:ascii="Times New Roman" w:eastAsia="Times New Roman" w:hAnsi="Times New Roman" w:cs="Times New Roman"/>
          <w:sz w:val="24"/>
          <w:szCs w:val="24"/>
          <w:shd w:val="clear" w:color="auto" w:fill="FFFFFF"/>
          <w:lang w:val="tr-TR"/>
        </w:rPr>
        <w:t xml:space="preserve">ihtiyaçlar ile finansman </w:t>
      </w:r>
      <w:r w:rsidRPr="007D507F">
        <w:rPr>
          <w:rFonts w:ascii="Times New Roman" w:eastAsia="Times New Roman" w:hAnsi="Times New Roman" w:cs="Times New Roman"/>
          <w:sz w:val="24"/>
          <w:szCs w:val="24"/>
          <w:shd w:val="clear" w:color="auto" w:fill="FFFFFF"/>
          <w:lang w:val="tr-TR"/>
        </w:rPr>
        <w:t>olanakları arasında bir tutarsızlık</w:t>
      </w:r>
      <w:r w:rsidR="00BC147D" w:rsidRPr="007D507F">
        <w:rPr>
          <w:rFonts w:ascii="Times New Roman" w:eastAsia="Times New Roman" w:hAnsi="Times New Roman" w:cs="Times New Roman"/>
          <w:sz w:val="24"/>
          <w:szCs w:val="24"/>
          <w:shd w:val="clear" w:color="auto" w:fill="FFFFFF"/>
          <w:lang w:val="tr-TR"/>
        </w:rPr>
        <w:t xml:space="preserve"> </w:t>
      </w:r>
      <w:r w:rsidR="00B34D53" w:rsidRPr="007D507F">
        <w:rPr>
          <w:rFonts w:ascii="Times New Roman" w:eastAsia="Times New Roman" w:hAnsi="Times New Roman" w:cs="Times New Roman"/>
          <w:sz w:val="24"/>
          <w:szCs w:val="24"/>
          <w:shd w:val="clear" w:color="auto" w:fill="FFFFFF"/>
          <w:lang w:val="tr-TR"/>
        </w:rPr>
        <w:t>görülmektedir</w:t>
      </w:r>
      <w:r w:rsidR="00B34D53" w:rsidRPr="007D507F">
        <w:rPr>
          <w:rFonts w:ascii="Times New Roman" w:eastAsia="Times New Roman" w:hAnsi="Times New Roman" w:cs="Times New Roman"/>
          <w:color w:val="C00000"/>
          <w:sz w:val="24"/>
          <w:szCs w:val="24"/>
          <w:shd w:val="clear" w:color="auto" w:fill="FFFFFF"/>
          <w:lang w:val="tr-TR"/>
        </w:rPr>
        <w:t xml:space="preserve">. </w:t>
      </w:r>
      <w:r w:rsidRPr="007D507F">
        <w:rPr>
          <w:rFonts w:ascii="Times New Roman" w:eastAsia="Times New Roman" w:hAnsi="Times New Roman" w:cs="Times New Roman"/>
          <w:sz w:val="24"/>
          <w:szCs w:val="24"/>
          <w:shd w:val="clear" w:color="auto" w:fill="FFFFFF"/>
          <w:lang w:val="tr-TR"/>
        </w:rPr>
        <w:t xml:space="preserve">Devlet Garanti Programında beyan edilen uzman doktor randevusu ve konsültasyonu, önleyici tedbirler ve aşılama şeklinde beyan edilen nüfusa ücretsiz hizmet, yani belirli bir kliniğe atanan nüfus ile gerçek durum arasında bir tutarsızlık vardır. </w:t>
      </w:r>
    </w:p>
    <w:p w14:paraId="0CDAA0CD" w14:textId="2EAB13EA" w:rsidR="00FB70D0" w:rsidRPr="007D507F" w:rsidRDefault="001431E4" w:rsidP="007D507F">
      <w:pPr>
        <w:spacing w:after="0" w:line="240" w:lineRule="auto"/>
        <w:ind w:firstLine="567"/>
        <w:jc w:val="both"/>
        <w:rPr>
          <w:rFonts w:ascii="Times New Roman" w:hAnsi="Times New Roman" w:cs="Times New Roman"/>
          <w:sz w:val="24"/>
          <w:szCs w:val="24"/>
          <w:lang w:val="tr-TR"/>
        </w:rPr>
      </w:pPr>
      <w:r w:rsidRPr="007D507F">
        <w:rPr>
          <w:rFonts w:ascii="Times New Roman" w:eastAsia="Times New Roman" w:hAnsi="Times New Roman" w:cs="Times New Roman"/>
          <w:sz w:val="24"/>
          <w:szCs w:val="24"/>
          <w:shd w:val="clear" w:color="auto" w:fill="FFFFFF"/>
          <w:lang w:val="tr-TR" w:eastAsia="ru-RU"/>
        </w:rPr>
        <w:t xml:space="preserve">Bu </w:t>
      </w:r>
      <w:r w:rsidR="00776876" w:rsidRPr="007D507F">
        <w:rPr>
          <w:rFonts w:ascii="Times New Roman" w:eastAsia="Times New Roman" w:hAnsi="Times New Roman" w:cs="Times New Roman"/>
          <w:sz w:val="24"/>
          <w:szCs w:val="24"/>
          <w:shd w:val="clear" w:color="auto" w:fill="FFFFFF"/>
          <w:lang w:val="tr-TR" w:eastAsia="ru-RU"/>
        </w:rPr>
        <w:t xml:space="preserve">bağlamda, </w:t>
      </w:r>
      <w:r w:rsidRPr="007D507F">
        <w:rPr>
          <w:rFonts w:ascii="Times New Roman" w:eastAsia="Times New Roman" w:hAnsi="Times New Roman" w:cs="Times New Roman"/>
          <w:sz w:val="24"/>
          <w:szCs w:val="24"/>
          <w:shd w:val="clear" w:color="auto" w:fill="FFFFFF"/>
          <w:lang w:val="tr-TR" w:eastAsia="ru-RU"/>
        </w:rPr>
        <w:t xml:space="preserve">bütçe fonları bazında ücretsiz olarak sağlanan tıbbi bakım türleri açıkça tanımlanmalıdır. </w:t>
      </w:r>
      <w:r w:rsidR="00767413" w:rsidRPr="007D507F">
        <w:rPr>
          <w:rFonts w:ascii="Times New Roman" w:eastAsia="Times New Roman" w:hAnsi="Times New Roman" w:cs="Times New Roman"/>
          <w:sz w:val="24"/>
          <w:szCs w:val="24"/>
          <w:shd w:val="clear" w:color="auto" w:fill="FFFFFF"/>
          <w:lang w:val="tr-TR" w:eastAsia="ru-RU"/>
        </w:rPr>
        <w:t>B</w:t>
      </w:r>
      <w:r w:rsidR="0052159D" w:rsidRPr="007D507F">
        <w:rPr>
          <w:rFonts w:ascii="Times New Roman" w:eastAsia="Times New Roman" w:hAnsi="Times New Roman" w:cs="Times New Roman"/>
          <w:sz w:val="24"/>
          <w:szCs w:val="24"/>
          <w:shd w:val="clear" w:color="auto" w:fill="FFFFFF"/>
          <w:lang w:val="tr-TR" w:eastAsia="ru-RU"/>
        </w:rPr>
        <w:t>u</w:t>
      </w:r>
      <w:r w:rsidR="004A4FAC" w:rsidRPr="007D507F">
        <w:rPr>
          <w:rFonts w:ascii="Times New Roman" w:eastAsia="Times New Roman" w:hAnsi="Times New Roman" w:cs="Times New Roman"/>
          <w:color w:val="FF0000"/>
          <w:sz w:val="24"/>
          <w:szCs w:val="24"/>
          <w:shd w:val="clear" w:color="auto" w:fill="FFFFFF"/>
          <w:lang w:val="tr-TR" w:eastAsia="ru-RU"/>
        </w:rPr>
        <w:t xml:space="preserve"> </w:t>
      </w:r>
      <w:r w:rsidR="004A4FAC" w:rsidRPr="007D507F">
        <w:rPr>
          <w:rFonts w:ascii="Times New Roman" w:eastAsia="Times New Roman" w:hAnsi="Times New Roman" w:cs="Times New Roman"/>
          <w:sz w:val="24"/>
          <w:szCs w:val="24"/>
          <w:shd w:val="clear" w:color="auto" w:fill="FFFFFF"/>
          <w:lang w:val="tr-TR" w:eastAsia="ru-RU"/>
        </w:rPr>
        <w:t>tıbbi bakım türleri açısından,</w:t>
      </w:r>
      <w:r w:rsidRPr="007D507F">
        <w:rPr>
          <w:rFonts w:ascii="Times New Roman" w:eastAsia="Times New Roman" w:hAnsi="Times New Roman" w:cs="Times New Roman"/>
          <w:sz w:val="24"/>
          <w:szCs w:val="24"/>
          <w:shd w:val="clear" w:color="auto" w:fill="FFFFFF"/>
          <w:lang w:val="tr-TR" w:eastAsia="ru-RU"/>
        </w:rPr>
        <w:t xml:space="preserve"> önleme tedbirleri için para sağlanmadığı</w:t>
      </w:r>
      <w:r w:rsidR="00767413" w:rsidRPr="007D507F">
        <w:rPr>
          <w:rFonts w:ascii="Times New Roman" w:eastAsia="Times New Roman" w:hAnsi="Times New Roman" w:cs="Times New Roman"/>
          <w:sz w:val="24"/>
          <w:szCs w:val="24"/>
          <w:shd w:val="clear" w:color="auto" w:fill="FFFFFF"/>
          <w:lang w:val="tr-TR" w:eastAsia="ru-RU"/>
        </w:rPr>
        <w:t xml:space="preserve">ndan, </w:t>
      </w:r>
      <w:r w:rsidRPr="007D507F">
        <w:rPr>
          <w:rFonts w:ascii="Times New Roman" w:eastAsia="Times New Roman" w:hAnsi="Times New Roman" w:cs="Times New Roman"/>
          <w:sz w:val="24"/>
          <w:szCs w:val="24"/>
          <w:shd w:val="clear" w:color="auto" w:fill="FFFFFF"/>
          <w:lang w:val="tr-TR" w:eastAsia="ru-RU"/>
        </w:rPr>
        <w:t xml:space="preserve">bu hizmetlerin resmi olarak </w:t>
      </w:r>
      <w:r w:rsidR="005F569C" w:rsidRPr="007D507F">
        <w:rPr>
          <w:rFonts w:ascii="Times New Roman" w:eastAsia="Times New Roman" w:hAnsi="Times New Roman" w:cs="Times New Roman"/>
          <w:sz w:val="24"/>
          <w:szCs w:val="24"/>
          <w:shd w:val="clear" w:color="auto" w:fill="FFFFFF"/>
          <w:lang w:val="tr-TR" w:eastAsia="ru-RU"/>
        </w:rPr>
        <w:t>kâğıt</w:t>
      </w:r>
      <w:r w:rsidRPr="007D507F">
        <w:rPr>
          <w:rFonts w:ascii="Times New Roman" w:eastAsia="Times New Roman" w:hAnsi="Times New Roman" w:cs="Times New Roman"/>
          <w:sz w:val="24"/>
          <w:szCs w:val="24"/>
          <w:shd w:val="clear" w:color="auto" w:fill="FFFFFF"/>
          <w:lang w:val="tr-TR" w:eastAsia="ru-RU"/>
        </w:rPr>
        <w:t xml:space="preserve"> üzerinde mevcut olduğu kabul edilmelidir.</w:t>
      </w:r>
    </w:p>
    <w:p w14:paraId="1C000F71" w14:textId="77777777" w:rsidR="00B34D53" w:rsidRPr="007D507F" w:rsidRDefault="00B34D53" w:rsidP="007D507F">
      <w:pPr>
        <w:shd w:val="clear" w:color="auto" w:fill="FFFFFF"/>
        <w:spacing w:before="120"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b/>
          <w:sz w:val="24"/>
          <w:szCs w:val="24"/>
          <w:lang w:val="ky-KG"/>
        </w:rPr>
        <w:t xml:space="preserve">Tablo </w:t>
      </w:r>
      <w:r w:rsidRPr="007D507F">
        <w:rPr>
          <w:rFonts w:ascii="Times New Roman" w:hAnsi="Times New Roman" w:cs="Times New Roman"/>
          <w:b/>
          <w:sz w:val="24"/>
          <w:szCs w:val="24"/>
          <w:lang w:val="tr-TR"/>
        </w:rPr>
        <w:t>2</w:t>
      </w:r>
      <w:r w:rsidRPr="007D507F">
        <w:rPr>
          <w:rFonts w:ascii="Times New Roman" w:hAnsi="Times New Roman" w:cs="Times New Roman"/>
          <w:b/>
          <w:sz w:val="24"/>
          <w:szCs w:val="24"/>
          <w:lang w:val="ky-KG"/>
        </w:rPr>
        <w:t>.</w:t>
      </w:r>
      <w:r w:rsidRPr="007D507F">
        <w:rPr>
          <w:rFonts w:ascii="Times New Roman" w:hAnsi="Times New Roman" w:cs="Times New Roman"/>
          <w:b/>
          <w:sz w:val="24"/>
          <w:szCs w:val="24"/>
          <w:lang w:val="tr-TR"/>
        </w:rPr>
        <w:t xml:space="preserve"> </w:t>
      </w:r>
      <w:r w:rsidRPr="007D507F">
        <w:rPr>
          <w:rFonts w:ascii="Times New Roman" w:hAnsi="Times New Roman" w:cs="Times New Roman"/>
          <w:sz w:val="24"/>
          <w:szCs w:val="24"/>
          <w:lang w:val="ky-KG"/>
        </w:rPr>
        <w:t>Zorunlu Sağlık Sigortası Fonu 2019 bütçesinden (bin Som) nüfusun sosyal açıdan savunmasız kategorilerinin zorunlu sağlık sigortası finansmanına</w:t>
      </w:r>
      <w:r w:rsidRPr="007D507F">
        <w:rPr>
          <w:rFonts w:ascii="Times New Roman" w:hAnsi="Times New Roman" w:cs="Times New Roman"/>
          <w:sz w:val="24"/>
          <w:szCs w:val="24"/>
          <w:lang w:val="tr-TR"/>
        </w:rPr>
        <w:t xml:space="preserve"> </w:t>
      </w:r>
      <w:r w:rsidRPr="007D507F">
        <w:rPr>
          <w:rFonts w:ascii="Times New Roman" w:hAnsi="Times New Roman" w:cs="Times New Roman"/>
          <w:sz w:val="24"/>
          <w:szCs w:val="24"/>
          <w:lang w:val="ky-KG"/>
        </w:rPr>
        <w:t>ilişkin bilgiler</w:t>
      </w:r>
    </w:p>
    <w:tbl>
      <w:tblPr>
        <w:tblStyle w:val="ab"/>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958"/>
        <w:gridCol w:w="2065"/>
        <w:gridCol w:w="1291"/>
      </w:tblGrid>
      <w:tr w:rsidR="00B34D53" w:rsidRPr="007F3F6C" w14:paraId="73894CF8" w14:textId="77777777" w:rsidTr="00E737E6">
        <w:trPr>
          <w:trHeight w:val="275"/>
        </w:trPr>
        <w:tc>
          <w:tcPr>
            <w:tcW w:w="4135" w:type="dxa"/>
            <w:tcBorders>
              <w:top w:val="single" w:sz="4" w:space="0" w:color="auto"/>
              <w:bottom w:val="single" w:sz="4" w:space="0" w:color="auto"/>
            </w:tcBorders>
            <w:hideMark/>
          </w:tcPr>
          <w:p w14:paraId="495D10BB" w14:textId="77777777" w:rsidR="00B34D53" w:rsidRPr="00845342" w:rsidRDefault="00B34D53" w:rsidP="00E737E6">
            <w:pPr>
              <w:rPr>
                <w:rFonts w:ascii="Times New Roman" w:hAnsi="Times New Roman" w:cs="Times New Roman"/>
                <w:b/>
                <w:lang w:val="tr-TR"/>
              </w:rPr>
            </w:pPr>
            <w:r w:rsidRPr="00845342">
              <w:rPr>
                <w:rFonts w:ascii="Times New Roman" w:hAnsi="Times New Roman" w:cs="Times New Roman"/>
                <w:b/>
                <w:lang w:val="tr-TR"/>
              </w:rPr>
              <w:t>Kategoriler</w:t>
            </w:r>
          </w:p>
        </w:tc>
        <w:tc>
          <w:tcPr>
            <w:tcW w:w="1958" w:type="dxa"/>
            <w:tcBorders>
              <w:top w:val="single" w:sz="4" w:space="0" w:color="auto"/>
              <w:bottom w:val="single" w:sz="4" w:space="0" w:color="auto"/>
            </w:tcBorders>
            <w:noWrap/>
            <w:hideMark/>
          </w:tcPr>
          <w:p w14:paraId="1257B5FF" w14:textId="77777777" w:rsidR="00B34D53" w:rsidRDefault="00B34D53" w:rsidP="00E737E6">
            <w:pPr>
              <w:rPr>
                <w:rFonts w:ascii="Times New Roman" w:eastAsia="Times New Roman" w:hAnsi="Times New Roman" w:cs="Times New Roman"/>
                <w:b/>
                <w:szCs w:val="20"/>
                <w:lang w:val="tr-TR" w:eastAsia="ru-RU"/>
              </w:rPr>
            </w:pPr>
            <w:r>
              <w:rPr>
                <w:rFonts w:ascii="Times New Roman" w:eastAsia="Times New Roman" w:hAnsi="Times New Roman" w:cs="Times New Roman"/>
                <w:b/>
                <w:szCs w:val="20"/>
                <w:lang w:val="tr-TR" w:eastAsia="ru-RU"/>
              </w:rPr>
              <w:t xml:space="preserve">Finanse </w:t>
            </w:r>
          </w:p>
          <w:p w14:paraId="49EDA5DE" w14:textId="31D07B60" w:rsidR="00B34D53" w:rsidRPr="009E7094" w:rsidRDefault="005F569C" w:rsidP="00E737E6">
            <w:pPr>
              <w:rPr>
                <w:rFonts w:ascii="Times New Roman" w:hAnsi="Times New Roman" w:cs="Times New Roman"/>
                <w:b/>
                <w:bCs/>
                <w:szCs w:val="20"/>
                <w:lang w:val="tr-TR"/>
              </w:rPr>
            </w:pPr>
            <w:r>
              <w:rPr>
                <w:rFonts w:ascii="Times New Roman" w:eastAsia="Times New Roman" w:hAnsi="Times New Roman" w:cs="Times New Roman"/>
                <w:b/>
                <w:szCs w:val="20"/>
                <w:lang w:val="tr-TR" w:eastAsia="ru-RU"/>
              </w:rPr>
              <w:t>Edilen</w:t>
            </w:r>
            <w:r w:rsidR="00B34D53">
              <w:rPr>
                <w:rFonts w:ascii="Times New Roman" w:eastAsia="Times New Roman" w:hAnsi="Times New Roman" w:cs="Times New Roman"/>
                <w:b/>
                <w:szCs w:val="20"/>
                <w:lang w:val="tr-TR" w:eastAsia="ru-RU"/>
              </w:rPr>
              <w:t xml:space="preserve"> </w:t>
            </w:r>
          </w:p>
        </w:tc>
        <w:tc>
          <w:tcPr>
            <w:tcW w:w="2065" w:type="dxa"/>
            <w:tcBorders>
              <w:top w:val="single" w:sz="4" w:space="0" w:color="auto"/>
              <w:bottom w:val="single" w:sz="4" w:space="0" w:color="auto"/>
            </w:tcBorders>
            <w:noWrap/>
            <w:hideMark/>
          </w:tcPr>
          <w:p w14:paraId="3D011243" w14:textId="2706543C" w:rsidR="00B34D53" w:rsidRPr="009E7094" w:rsidRDefault="005F569C" w:rsidP="00E737E6">
            <w:pPr>
              <w:rPr>
                <w:rFonts w:ascii="Times New Roman" w:hAnsi="Times New Roman" w:cs="Times New Roman"/>
                <w:b/>
                <w:bCs/>
                <w:szCs w:val="20"/>
                <w:lang w:val="tr-TR"/>
              </w:rPr>
            </w:pPr>
            <w:r>
              <w:rPr>
                <w:rFonts w:ascii="Times New Roman" w:hAnsi="Times New Roman" w:cs="Times New Roman"/>
                <w:b/>
                <w:bCs/>
                <w:szCs w:val="20"/>
                <w:lang w:val="tr-TR"/>
              </w:rPr>
              <w:t>Yataklı tedavi İ</w:t>
            </w:r>
            <w:r w:rsidR="00B34D53" w:rsidRPr="00845342">
              <w:rPr>
                <w:rFonts w:ascii="Times New Roman" w:hAnsi="Times New Roman" w:cs="Times New Roman"/>
                <w:b/>
                <w:bCs/>
                <w:szCs w:val="20"/>
                <w:lang w:val="tr-TR"/>
              </w:rPr>
              <w:t>htiyacı</w:t>
            </w:r>
            <w:r w:rsidR="00B34D53">
              <w:rPr>
                <w:rFonts w:ascii="Times New Roman" w:hAnsi="Times New Roman" w:cs="Times New Roman"/>
                <w:b/>
                <w:bCs/>
                <w:szCs w:val="20"/>
                <w:lang w:val="tr-TR"/>
              </w:rPr>
              <w:t xml:space="preserve"> </w:t>
            </w:r>
          </w:p>
        </w:tc>
        <w:tc>
          <w:tcPr>
            <w:tcW w:w="1291" w:type="dxa"/>
            <w:tcBorders>
              <w:top w:val="single" w:sz="4" w:space="0" w:color="auto"/>
              <w:bottom w:val="single" w:sz="4" w:space="0" w:color="auto"/>
            </w:tcBorders>
            <w:noWrap/>
            <w:hideMark/>
          </w:tcPr>
          <w:p w14:paraId="6D265B4B" w14:textId="77777777" w:rsidR="00B34D53" w:rsidRPr="009E7094" w:rsidRDefault="00B34D53" w:rsidP="00E737E6">
            <w:pPr>
              <w:rPr>
                <w:rFonts w:ascii="Times New Roman" w:hAnsi="Times New Roman" w:cs="Times New Roman"/>
                <w:b/>
                <w:bCs/>
                <w:szCs w:val="20"/>
                <w:lang w:val="tr-TR"/>
              </w:rPr>
            </w:pPr>
            <w:r>
              <w:rPr>
                <w:rFonts w:ascii="Times New Roman" w:hAnsi="Times New Roman" w:cs="Times New Roman"/>
                <w:b/>
                <w:bCs/>
                <w:szCs w:val="20"/>
                <w:lang w:val="tr-TR"/>
              </w:rPr>
              <w:t xml:space="preserve">Sapma </w:t>
            </w:r>
          </w:p>
        </w:tc>
      </w:tr>
      <w:tr w:rsidR="00B34D53" w:rsidRPr="007F3F6C" w14:paraId="3D24BDE9" w14:textId="77777777" w:rsidTr="00E737E6">
        <w:trPr>
          <w:trHeight w:val="275"/>
        </w:trPr>
        <w:tc>
          <w:tcPr>
            <w:tcW w:w="4135" w:type="dxa"/>
            <w:tcBorders>
              <w:top w:val="single" w:sz="4" w:space="0" w:color="auto"/>
            </w:tcBorders>
            <w:hideMark/>
          </w:tcPr>
          <w:p w14:paraId="755AC88A" w14:textId="77777777" w:rsidR="00B34D53" w:rsidRPr="009E7094" w:rsidRDefault="00B34D53" w:rsidP="00E737E6">
            <w:pPr>
              <w:rPr>
                <w:rFonts w:ascii="Times New Roman" w:hAnsi="Times New Roman" w:cs="Times New Roman"/>
                <w:lang w:val="tr-TR"/>
              </w:rPr>
            </w:pPr>
            <w:r>
              <w:rPr>
                <w:rFonts w:ascii="Times New Roman" w:hAnsi="Times New Roman" w:cs="Times New Roman"/>
                <w:lang w:val="tr-TR"/>
              </w:rPr>
              <w:t>İşsiz</w:t>
            </w:r>
          </w:p>
        </w:tc>
        <w:tc>
          <w:tcPr>
            <w:tcW w:w="1958" w:type="dxa"/>
            <w:tcBorders>
              <w:top w:val="single" w:sz="4" w:space="0" w:color="auto"/>
            </w:tcBorders>
            <w:noWrap/>
            <w:hideMark/>
          </w:tcPr>
          <w:p w14:paraId="36CC5F7A"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2,6</w:t>
            </w:r>
          </w:p>
        </w:tc>
        <w:tc>
          <w:tcPr>
            <w:tcW w:w="2065" w:type="dxa"/>
            <w:tcBorders>
              <w:top w:val="single" w:sz="4" w:space="0" w:color="auto"/>
            </w:tcBorders>
            <w:noWrap/>
            <w:hideMark/>
          </w:tcPr>
          <w:p w14:paraId="5977A336"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7,4</w:t>
            </w:r>
          </w:p>
        </w:tc>
        <w:tc>
          <w:tcPr>
            <w:tcW w:w="1291" w:type="dxa"/>
            <w:tcBorders>
              <w:top w:val="single" w:sz="4" w:space="0" w:color="auto"/>
            </w:tcBorders>
            <w:noWrap/>
            <w:hideMark/>
          </w:tcPr>
          <w:p w14:paraId="5DBD2AED"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-4,8</w:t>
            </w:r>
          </w:p>
        </w:tc>
      </w:tr>
      <w:tr w:rsidR="00B34D53" w:rsidRPr="007F3F6C" w14:paraId="22A0D0C5" w14:textId="77777777" w:rsidTr="00E737E6">
        <w:trPr>
          <w:trHeight w:val="275"/>
        </w:trPr>
        <w:tc>
          <w:tcPr>
            <w:tcW w:w="4135" w:type="dxa"/>
            <w:hideMark/>
          </w:tcPr>
          <w:p w14:paraId="45965821" w14:textId="77777777" w:rsidR="00B34D53" w:rsidRPr="009E7094" w:rsidRDefault="00B34D53" w:rsidP="00E737E6">
            <w:pPr>
              <w:rPr>
                <w:rFonts w:ascii="Times New Roman" w:hAnsi="Times New Roman" w:cs="Times New Roman"/>
                <w:lang w:val="tr-TR"/>
              </w:rPr>
            </w:pPr>
            <w:r>
              <w:rPr>
                <w:rFonts w:ascii="Times New Roman" w:hAnsi="Times New Roman" w:cs="Times New Roman"/>
              </w:rPr>
              <w:t>Sosyal hizmeti alan birey</w:t>
            </w:r>
          </w:p>
        </w:tc>
        <w:tc>
          <w:tcPr>
            <w:tcW w:w="1958" w:type="dxa"/>
            <w:noWrap/>
            <w:hideMark/>
          </w:tcPr>
          <w:p w14:paraId="33BFC494"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9,4</w:t>
            </w:r>
          </w:p>
        </w:tc>
        <w:tc>
          <w:tcPr>
            <w:tcW w:w="2065" w:type="dxa"/>
            <w:noWrap/>
            <w:hideMark/>
          </w:tcPr>
          <w:p w14:paraId="5EE52C65"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133,2</w:t>
            </w:r>
          </w:p>
        </w:tc>
        <w:tc>
          <w:tcPr>
            <w:tcW w:w="1291" w:type="dxa"/>
            <w:noWrap/>
            <w:hideMark/>
          </w:tcPr>
          <w:p w14:paraId="18E4F53C"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-123,8</w:t>
            </w:r>
          </w:p>
        </w:tc>
      </w:tr>
      <w:tr w:rsidR="00B34D53" w:rsidRPr="007F3F6C" w14:paraId="7B34C6BA" w14:textId="77777777" w:rsidTr="00E737E6">
        <w:trPr>
          <w:trHeight w:val="275"/>
        </w:trPr>
        <w:tc>
          <w:tcPr>
            <w:tcW w:w="4135" w:type="dxa"/>
            <w:hideMark/>
          </w:tcPr>
          <w:p w14:paraId="0E75E478" w14:textId="77777777" w:rsidR="00B34D53" w:rsidRPr="009E7094" w:rsidRDefault="00B34D53" w:rsidP="00E737E6">
            <w:pPr>
              <w:rPr>
                <w:rFonts w:ascii="Times New Roman" w:hAnsi="Times New Roman" w:cs="Times New Roman"/>
                <w:lang w:val="tr-TR"/>
              </w:rPr>
            </w:pPr>
            <w:r>
              <w:rPr>
                <w:rFonts w:ascii="Times New Roman" w:hAnsi="Times New Roman" w:cs="Times New Roman"/>
                <w:lang w:val="tr-TR"/>
              </w:rPr>
              <w:t>Öğrenci</w:t>
            </w:r>
          </w:p>
        </w:tc>
        <w:tc>
          <w:tcPr>
            <w:tcW w:w="1958" w:type="dxa"/>
            <w:noWrap/>
            <w:hideMark/>
          </w:tcPr>
          <w:p w14:paraId="5BCA8D55"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20,9</w:t>
            </w:r>
          </w:p>
        </w:tc>
        <w:tc>
          <w:tcPr>
            <w:tcW w:w="2065" w:type="dxa"/>
            <w:noWrap/>
            <w:hideMark/>
          </w:tcPr>
          <w:p w14:paraId="049CE97F"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51,4</w:t>
            </w:r>
          </w:p>
        </w:tc>
        <w:tc>
          <w:tcPr>
            <w:tcW w:w="1291" w:type="dxa"/>
            <w:noWrap/>
            <w:hideMark/>
          </w:tcPr>
          <w:p w14:paraId="12B66B08"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-30,5</w:t>
            </w:r>
          </w:p>
        </w:tc>
      </w:tr>
      <w:tr w:rsidR="00B34D53" w:rsidRPr="007F3F6C" w14:paraId="4FF75D1F" w14:textId="77777777" w:rsidTr="00E737E6">
        <w:trPr>
          <w:trHeight w:val="275"/>
        </w:trPr>
        <w:tc>
          <w:tcPr>
            <w:tcW w:w="4135" w:type="dxa"/>
            <w:hideMark/>
          </w:tcPr>
          <w:p w14:paraId="32B8CFF2" w14:textId="77777777" w:rsidR="00B34D53" w:rsidRPr="007F3F6C" w:rsidRDefault="00B34D53" w:rsidP="00E737E6">
            <w:pPr>
              <w:rPr>
                <w:rFonts w:ascii="Times New Roman" w:hAnsi="Times New Roman" w:cs="Times New Roman"/>
              </w:rPr>
            </w:pPr>
            <w:r w:rsidRPr="009E7094">
              <w:rPr>
                <w:rFonts w:ascii="Times New Roman" w:hAnsi="Times New Roman" w:cs="Times New Roman"/>
              </w:rPr>
              <w:t>Askeri personel</w:t>
            </w:r>
          </w:p>
        </w:tc>
        <w:tc>
          <w:tcPr>
            <w:tcW w:w="1958" w:type="dxa"/>
            <w:noWrap/>
            <w:hideMark/>
          </w:tcPr>
          <w:p w14:paraId="770E52D9"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0,4</w:t>
            </w:r>
          </w:p>
        </w:tc>
        <w:tc>
          <w:tcPr>
            <w:tcW w:w="2065" w:type="dxa"/>
            <w:noWrap/>
            <w:hideMark/>
          </w:tcPr>
          <w:p w14:paraId="7B8D4A29"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3,9</w:t>
            </w:r>
          </w:p>
        </w:tc>
        <w:tc>
          <w:tcPr>
            <w:tcW w:w="1291" w:type="dxa"/>
            <w:noWrap/>
            <w:hideMark/>
          </w:tcPr>
          <w:p w14:paraId="76630658"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-3,5</w:t>
            </w:r>
          </w:p>
        </w:tc>
      </w:tr>
      <w:tr w:rsidR="00B34D53" w:rsidRPr="007F3F6C" w14:paraId="4D77A26B" w14:textId="77777777" w:rsidTr="00E737E6">
        <w:trPr>
          <w:trHeight w:val="275"/>
        </w:trPr>
        <w:tc>
          <w:tcPr>
            <w:tcW w:w="4135" w:type="dxa"/>
            <w:hideMark/>
          </w:tcPr>
          <w:p w14:paraId="5FBC518A" w14:textId="77777777" w:rsidR="00B34D53" w:rsidRPr="009E7094" w:rsidRDefault="00B34D53" w:rsidP="00E737E6">
            <w:pPr>
              <w:rPr>
                <w:rFonts w:ascii="Times New Roman" w:hAnsi="Times New Roman" w:cs="Times New Roman"/>
                <w:lang w:val="tr-TR"/>
              </w:rPr>
            </w:pPr>
            <w:r>
              <w:rPr>
                <w:rFonts w:ascii="Times New Roman" w:hAnsi="Times New Roman" w:cs="Times New Roman"/>
                <w:lang w:val="tr-TR"/>
              </w:rPr>
              <w:t>Emekli</w:t>
            </w:r>
          </w:p>
        </w:tc>
        <w:tc>
          <w:tcPr>
            <w:tcW w:w="1958" w:type="dxa"/>
            <w:noWrap/>
            <w:hideMark/>
          </w:tcPr>
          <w:p w14:paraId="56910ED2"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73,4</w:t>
            </w:r>
          </w:p>
        </w:tc>
        <w:tc>
          <w:tcPr>
            <w:tcW w:w="2065" w:type="dxa"/>
            <w:noWrap/>
            <w:hideMark/>
          </w:tcPr>
          <w:p w14:paraId="15F27984"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421,9</w:t>
            </w:r>
          </w:p>
        </w:tc>
        <w:tc>
          <w:tcPr>
            <w:tcW w:w="1291" w:type="dxa"/>
            <w:noWrap/>
            <w:hideMark/>
          </w:tcPr>
          <w:p w14:paraId="122C6DA9"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-348,5</w:t>
            </w:r>
          </w:p>
        </w:tc>
      </w:tr>
      <w:tr w:rsidR="00B34D53" w:rsidRPr="007F3F6C" w14:paraId="5661697C" w14:textId="77777777" w:rsidTr="00E737E6">
        <w:trPr>
          <w:trHeight w:val="275"/>
        </w:trPr>
        <w:tc>
          <w:tcPr>
            <w:tcW w:w="4135" w:type="dxa"/>
            <w:hideMark/>
          </w:tcPr>
          <w:p w14:paraId="019EBB4A" w14:textId="77777777" w:rsidR="00B34D53" w:rsidRPr="009E7094" w:rsidRDefault="00B34D53" w:rsidP="00E737E6">
            <w:pPr>
              <w:rPr>
                <w:rFonts w:ascii="Times New Roman" w:hAnsi="Times New Roman" w:cs="Times New Roman"/>
                <w:lang w:val="tr-TR"/>
              </w:rPr>
            </w:pPr>
            <w:r>
              <w:rPr>
                <w:rFonts w:ascii="Times New Roman" w:hAnsi="Times New Roman" w:cs="Times New Roman"/>
                <w:lang w:val="tr-TR"/>
              </w:rPr>
              <w:t>Çocuk</w:t>
            </w:r>
          </w:p>
        </w:tc>
        <w:tc>
          <w:tcPr>
            <w:tcW w:w="1958" w:type="dxa"/>
            <w:noWrap/>
            <w:hideMark/>
          </w:tcPr>
          <w:p w14:paraId="4183C63F"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322,9</w:t>
            </w:r>
          </w:p>
        </w:tc>
        <w:tc>
          <w:tcPr>
            <w:tcW w:w="2065" w:type="dxa"/>
            <w:noWrap/>
            <w:hideMark/>
          </w:tcPr>
          <w:p w14:paraId="775939D9"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1 227,6</w:t>
            </w:r>
          </w:p>
        </w:tc>
        <w:tc>
          <w:tcPr>
            <w:tcW w:w="1291" w:type="dxa"/>
            <w:noWrap/>
            <w:hideMark/>
          </w:tcPr>
          <w:p w14:paraId="350D32C4" w14:textId="77777777" w:rsidR="00B34D53" w:rsidRPr="007F3F6C" w:rsidRDefault="00B34D53" w:rsidP="00E737E6">
            <w:pPr>
              <w:rPr>
                <w:rFonts w:ascii="Times New Roman" w:hAnsi="Times New Roman" w:cs="Times New Roman"/>
              </w:rPr>
            </w:pPr>
            <w:r w:rsidRPr="007F3F6C">
              <w:rPr>
                <w:rFonts w:ascii="Times New Roman" w:hAnsi="Times New Roman" w:cs="Times New Roman"/>
              </w:rPr>
              <w:t>-904,7</w:t>
            </w:r>
          </w:p>
        </w:tc>
      </w:tr>
      <w:tr w:rsidR="00B34D53" w:rsidRPr="007F3F6C" w14:paraId="375B9E09" w14:textId="77777777" w:rsidTr="00E737E6">
        <w:trPr>
          <w:trHeight w:val="275"/>
        </w:trPr>
        <w:tc>
          <w:tcPr>
            <w:tcW w:w="4135" w:type="dxa"/>
            <w:tcBorders>
              <w:bottom w:val="single" w:sz="4" w:space="0" w:color="auto"/>
            </w:tcBorders>
            <w:hideMark/>
          </w:tcPr>
          <w:p w14:paraId="7218A38B" w14:textId="77777777" w:rsidR="00B34D53" w:rsidRPr="009E7094" w:rsidRDefault="00B34D53" w:rsidP="00E737E6">
            <w:pPr>
              <w:rPr>
                <w:rFonts w:ascii="Times New Roman" w:hAnsi="Times New Roman" w:cs="Times New Roman"/>
                <w:bCs/>
                <w:lang w:val="tr-TR"/>
              </w:rPr>
            </w:pPr>
            <w:r>
              <w:rPr>
                <w:rFonts w:ascii="Times New Roman" w:hAnsi="Times New Roman" w:cs="Times New Roman"/>
                <w:bCs/>
                <w:lang w:val="tr-TR"/>
              </w:rPr>
              <w:t xml:space="preserve">Bütçeye göre toplam </w:t>
            </w:r>
          </w:p>
        </w:tc>
        <w:tc>
          <w:tcPr>
            <w:tcW w:w="1958" w:type="dxa"/>
            <w:tcBorders>
              <w:bottom w:val="single" w:sz="4" w:space="0" w:color="auto"/>
            </w:tcBorders>
            <w:noWrap/>
            <w:hideMark/>
          </w:tcPr>
          <w:p w14:paraId="3647021C" w14:textId="77777777" w:rsidR="00B34D53" w:rsidRPr="007F3F6C" w:rsidRDefault="00B34D53" w:rsidP="00E737E6">
            <w:pPr>
              <w:rPr>
                <w:rFonts w:ascii="Times New Roman" w:hAnsi="Times New Roman" w:cs="Times New Roman"/>
                <w:bCs/>
              </w:rPr>
            </w:pPr>
            <w:r w:rsidRPr="007F3F6C">
              <w:rPr>
                <w:rFonts w:ascii="Times New Roman" w:hAnsi="Times New Roman" w:cs="Times New Roman"/>
                <w:bCs/>
              </w:rPr>
              <w:t>429,6</w:t>
            </w:r>
          </w:p>
        </w:tc>
        <w:tc>
          <w:tcPr>
            <w:tcW w:w="2065" w:type="dxa"/>
            <w:tcBorders>
              <w:bottom w:val="single" w:sz="4" w:space="0" w:color="auto"/>
            </w:tcBorders>
            <w:noWrap/>
            <w:hideMark/>
          </w:tcPr>
          <w:p w14:paraId="5D28B454" w14:textId="77777777" w:rsidR="00B34D53" w:rsidRPr="007F3F6C" w:rsidRDefault="00B34D53" w:rsidP="00E737E6">
            <w:pPr>
              <w:rPr>
                <w:rFonts w:ascii="Times New Roman" w:hAnsi="Times New Roman" w:cs="Times New Roman"/>
                <w:bCs/>
              </w:rPr>
            </w:pPr>
            <w:r w:rsidRPr="007F3F6C">
              <w:rPr>
                <w:rFonts w:ascii="Times New Roman" w:hAnsi="Times New Roman" w:cs="Times New Roman"/>
                <w:bCs/>
              </w:rPr>
              <w:t>1 945,4</w:t>
            </w:r>
          </w:p>
        </w:tc>
        <w:tc>
          <w:tcPr>
            <w:tcW w:w="1291" w:type="dxa"/>
            <w:tcBorders>
              <w:bottom w:val="single" w:sz="4" w:space="0" w:color="auto"/>
            </w:tcBorders>
            <w:noWrap/>
            <w:hideMark/>
          </w:tcPr>
          <w:p w14:paraId="7D9AD147" w14:textId="77777777" w:rsidR="00B34D53" w:rsidRPr="007F3F6C" w:rsidRDefault="00B34D53" w:rsidP="00E737E6">
            <w:pPr>
              <w:rPr>
                <w:rFonts w:ascii="Times New Roman" w:hAnsi="Times New Roman" w:cs="Times New Roman"/>
                <w:bCs/>
              </w:rPr>
            </w:pPr>
            <w:r w:rsidRPr="007F3F6C">
              <w:rPr>
                <w:rFonts w:ascii="Times New Roman" w:hAnsi="Times New Roman" w:cs="Times New Roman"/>
                <w:bCs/>
              </w:rPr>
              <w:t>-1 415,8</w:t>
            </w:r>
          </w:p>
        </w:tc>
      </w:tr>
    </w:tbl>
    <w:p w14:paraId="50CA81E1" w14:textId="77777777" w:rsidR="00B34D53" w:rsidRPr="00276C2A" w:rsidRDefault="00B34D53" w:rsidP="00B34D53">
      <w:pPr>
        <w:shd w:val="clear" w:color="auto" w:fill="FFFFFF"/>
        <w:spacing w:after="120"/>
        <w:jc w:val="both"/>
        <w:rPr>
          <w:rFonts w:ascii="Times New Roman" w:hAnsi="Times New Roman" w:cs="Times New Roman"/>
          <w:i/>
          <w:lang w:val="tr-TR"/>
        </w:rPr>
      </w:pPr>
      <w:r w:rsidRPr="007F3F6C">
        <w:rPr>
          <w:rFonts w:ascii="Times New Roman" w:hAnsi="Times New Roman" w:cs="Times New Roman"/>
          <w:i/>
        </w:rPr>
        <w:t xml:space="preserve"> </w:t>
      </w:r>
      <w:r w:rsidRPr="00276C2A">
        <w:rPr>
          <w:rFonts w:ascii="Times New Roman" w:hAnsi="Times New Roman" w:cs="Times New Roman"/>
          <w:b/>
          <w:i/>
          <w:lang w:val="tr-TR"/>
        </w:rPr>
        <w:t>Kaynak:</w:t>
      </w:r>
      <w:r>
        <w:rPr>
          <w:rFonts w:ascii="Times New Roman" w:hAnsi="Times New Roman" w:cs="Times New Roman"/>
          <w:i/>
          <w:lang w:val="tr-TR"/>
        </w:rPr>
        <w:t xml:space="preserve"> Tablo, Kırgız Cumhuriyeti Zorunlu Sağlık Sıgortası Fonu’nun 2019 </w:t>
      </w:r>
      <w:r w:rsidRPr="00276C2A">
        <w:rPr>
          <w:rFonts w:ascii="Times New Roman" w:hAnsi="Times New Roman" w:cs="Times New Roman"/>
          <w:i/>
          <w:lang w:val="tr-TR"/>
        </w:rPr>
        <w:t>verilerine göre derlenmiştir.</w:t>
      </w:r>
      <w:r w:rsidRPr="00645493">
        <w:t xml:space="preserve"> </w:t>
      </w:r>
      <w:r w:rsidRPr="00645493">
        <w:rPr>
          <w:rFonts w:ascii="Times New Roman" w:hAnsi="Times New Roman" w:cs="Times New Roman"/>
          <w:i/>
          <w:lang w:val="tr-TR"/>
        </w:rPr>
        <w:t>http://foms.kg/page/reports</w:t>
      </w:r>
    </w:p>
    <w:p w14:paraId="3A579670" w14:textId="6717B09E" w:rsidR="001431E4" w:rsidRPr="007D507F" w:rsidRDefault="001431E4" w:rsidP="005E4A12">
      <w:pPr>
        <w:tabs>
          <w:tab w:val="left" w:pos="1418"/>
        </w:tabs>
        <w:spacing w:after="0" w:line="240" w:lineRule="auto"/>
        <w:ind w:firstLine="567"/>
        <w:jc w:val="both"/>
        <w:rPr>
          <w:rFonts w:ascii="Times New Roman" w:hAnsi="Times New Roman" w:cs="Times New Roman"/>
          <w:sz w:val="24"/>
          <w:szCs w:val="24"/>
          <w:lang w:val="tr-TR"/>
        </w:rPr>
      </w:pPr>
      <w:r w:rsidRPr="007D507F">
        <w:rPr>
          <w:rFonts w:ascii="Times New Roman" w:eastAsia="Times New Roman" w:hAnsi="Times New Roman" w:cs="Times New Roman"/>
          <w:sz w:val="24"/>
          <w:szCs w:val="24"/>
          <w:shd w:val="clear" w:color="auto" w:fill="FFFFFF"/>
          <w:lang w:val="tr-TR" w:eastAsia="ru-RU"/>
        </w:rPr>
        <w:t>İşini kaybeden vatandaşlar ve öğrenciler Devlet Garant</w:t>
      </w:r>
      <w:r w:rsidR="005466AD" w:rsidRPr="007D507F">
        <w:rPr>
          <w:rFonts w:ascii="Times New Roman" w:eastAsia="Times New Roman" w:hAnsi="Times New Roman" w:cs="Times New Roman"/>
          <w:sz w:val="24"/>
          <w:szCs w:val="24"/>
          <w:shd w:val="clear" w:color="auto" w:fill="FFFFFF"/>
          <w:lang w:val="tr-TR" w:eastAsia="ru-RU"/>
        </w:rPr>
        <w:t>i Programı kapsamı dışında kalmaktadır</w:t>
      </w:r>
      <w:r w:rsidRPr="007D507F">
        <w:rPr>
          <w:rFonts w:ascii="Times New Roman" w:eastAsia="Times New Roman" w:hAnsi="Times New Roman" w:cs="Times New Roman"/>
          <w:sz w:val="24"/>
          <w:szCs w:val="24"/>
          <w:shd w:val="clear" w:color="auto" w:fill="FFFFFF"/>
          <w:lang w:val="tr-TR" w:eastAsia="ru-RU"/>
        </w:rPr>
        <w:t xml:space="preserve">. </w:t>
      </w:r>
      <w:r w:rsidR="004A4FAC" w:rsidRPr="007D507F">
        <w:rPr>
          <w:rFonts w:ascii="Times New Roman" w:eastAsia="Times New Roman" w:hAnsi="Times New Roman" w:cs="Times New Roman"/>
          <w:sz w:val="24"/>
          <w:szCs w:val="24"/>
          <w:shd w:val="clear" w:color="auto" w:fill="FFFFFF"/>
          <w:lang w:val="tr-TR" w:eastAsia="ru-RU"/>
        </w:rPr>
        <w:t>İşsiz vatandaşlar ve öğrenciler,</w:t>
      </w:r>
      <w:r w:rsidRPr="007D507F">
        <w:rPr>
          <w:rFonts w:ascii="Times New Roman" w:eastAsia="Times New Roman" w:hAnsi="Times New Roman" w:cs="Times New Roman"/>
          <w:sz w:val="24"/>
          <w:szCs w:val="24"/>
          <w:shd w:val="clear" w:color="auto" w:fill="FFFFFF"/>
          <w:lang w:val="tr-TR" w:eastAsia="ru-RU"/>
        </w:rPr>
        <w:t xml:space="preserve"> devlet </w:t>
      </w:r>
      <w:r w:rsidR="005466AD" w:rsidRPr="007D507F">
        <w:rPr>
          <w:rFonts w:ascii="Times New Roman" w:eastAsia="Times New Roman" w:hAnsi="Times New Roman" w:cs="Times New Roman"/>
          <w:sz w:val="24"/>
          <w:szCs w:val="24"/>
          <w:shd w:val="clear" w:color="auto" w:fill="FFFFFF"/>
          <w:lang w:val="tr-TR" w:eastAsia="ru-RU"/>
        </w:rPr>
        <w:t xml:space="preserve">desteğine </w:t>
      </w:r>
      <w:r w:rsidR="00845342" w:rsidRPr="007D507F">
        <w:rPr>
          <w:rFonts w:ascii="Times New Roman" w:eastAsia="Times New Roman" w:hAnsi="Times New Roman" w:cs="Times New Roman"/>
          <w:sz w:val="24"/>
          <w:szCs w:val="24"/>
          <w:shd w:val="clear" w:color="auto" w:fill="FFFFFF"/>
          <w:lang w:val="tr-TR" w:eastAsia="ru-RU"/>
        </w:rPr>
        <w:t>ra</w:t>
      </w:r>
      <w:r w:rsidR="00DA0C21" w:rsidRPr="007D507F">
        <w:rPr>
          <w:rFonts w:ascii="Times New Roman" w:eastAsia="Times New Roman" w:hAnsi="Times New Roman" w:cs="Times New Roman"/>
          <w:sz w:val="24"/>
          <w:szCs w:val="24"/>
          <w:shd w:val="clear" w:color="auto" w:fill="FFFFFF"/>
          <w:lang w:val="tr-TR" w:eastAsia="ru-RU"/>
        </w:rPr>
        <w:t>ğ</w:t>
      </w:r>
      <w:r w:rsidR="00845342" w:rsidRPr="007D507F">
        <w:rPr>
          <w:rFonts w:ascii="Times New Roman" w:eastAsia="Times New Roman" w:hAnsi="Times New Roman" w:cs="Times New Roman"/>
          <w:sz w:val="24"/>
          <w:szCs w:val="24"/>
          <w:shd w:val="clear" w:color="auto" w:fill="FFFFFF"/>
          <w:lang w:val="tr-TR" w:eastAsia="ru-RU"/>
        </w:rPr>
        <w:t xml:space="preserve">men </w:t>
      </w:r>
      <w:r w:rsidRPr="007D507F">
        <w:rPr>
          <w:rFonts w:ascii="Times New Roman" w:eastAsia="Times New Roman" w:hAnsi="Times New Roman" w:cs="Times New Roman"/>
          <w:sz w:val="24"/>
          <w:szCs w:val="24"/>
          <w:shd w:val="clear" w:color="auto" w:fill="FFFFFF"/>
          <w:lang w:val="tr-TR" w:eastAsia="ru-RU"/>
        </w:rPr>
        <w:t>tıbbi bakım sağlanamayan bu nüfus kategorisi</w:t>
      </w:r>
      <w:r w:rsidR="004A4FAC" w:rsidRPr="007D507F">
        <w:rPr>
          <w:rFonts w:ascii="Times New Roman" w:eastAsia="Times New Roman" w:hAnsi="Times New Roman" w:cs="Times New Roman"/>
          <w:sz w:val="24"/>
          <w:szCs w:val="24"/>
          <w:shd w:val="clear" w:color="auto" w:fill="FFFFFF"/>
          <w:lang w:val="tr-TR" w:eastAsia="ru-RU"/>
        </w:rPr>
        <w:t xml:space="preserve"> içerisinde </w:t>
      </w:r>
      <w:r w:rsidRPr="007D507F">
        <w:rPr>
          <w:rFonts w:ascii="Times New Roman" w:eastAsia="Times New Roman" w:hAnsi="Times New Roman" w:cs="Times New Roman"/>
          <w:sz w:val="24"/>
          <w:szCs w:val="24"/>
          <w:shd w:val="clear" w:color="auto" w:fill="FFFFFF"/>
          <w:lang w:val="tr-TR" w:eastAsia="ru-RU"/>
        </w:rPr>
        <w:t>önemli bir</w:t>
      </w:r>
      <w:r w:rsidR="00845342" w:rsidRPr="007D507F">
        <w:rPr>
          <w:rFonts w:ascii="Times New Roman" w:eastAsia="Times New Roman" w:hAnsi="Times New Roman" w:cs="Times New Roman"/>
          <w:sz w:val="24"/>
          <w:szCs w:val="24"/>
          <w:shd w:val="clear" w:color="auto" w:fill="FFFFFF"/>
          <w:lang w:val="tr-TR" w:eastAsia="ru-RU"/>
        </w:rPr>
        <w:t xml:space="preserve"> </w:t>
      </w:r>
      <w:r w:rsidR="0013783A" w:rsidRPr="007D507F">
        <w:rPr>
          <w:rFonts w:ascii="Times New Roman" w:eastAsia="Times New Roman" w:hAnsi="Times New Roman" w:cs="Times New Roman"/>
          <w:sz w:val="24"/>
          <w:szCs w:val="24"/>
          <w:shd w:val="clear" w:color="auto" w:fill="FFFFFF"/>
          <w:lang w:val="tr-TR" w:eastAsia="ru-RU"/>
        </w:rPr>
        <w:t>kısmı oluşturmaktadır</w:t>
      </w:r>
      <w:r w:rsidR="0052159D"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sz w:val="24"/>
          <w:szCs w:val="24"/>
          <w:shd w:val="clear" w:color="auto" w:fill="FFFFFF"/>
          <w:lang w:val="tr-TR" w:eastAsia="ru-RU"/>
        </w:rPr>
        <w:t xml:space="preserve">(Tablo </w:t>
      </w:r>
      <w:r w:rsidR="002C7F4E" w:rsidRPr="007D507F">
        <w:rPr>
          <w:rFonts w:ascii="Times New Roman" w:eastAsia="Times New Roman" w:hAnsi="Times New Roman" w:cs="Times New Roman"/>
          <w:sz w:val="24"/>
          <w:szCs w:val="24"/>
          <w:shd w:val="clear" w:color="auto" w:fill="FFFFFF"/>
          <w:lang w:val="tr-TR" w:eastAsia="ru-RU"/>
        </w:rPr>
        <w:t>2</w:t>
      </w:r>
      <w:r w:rsidRPr="007D507F">
        <w:rPr>
          <w:rFonts w:ascii="Times New Roman" w:eastAsia="Times New Roman" w:hAnsi="Times New Roman" w:cs="Times New Roman"/>
          <w:sz w:val="24"/>
          <w:szCs w:val="24"/>
          <w:shd w:val="clear" w:color="auto" w:fill="FFFFFF"/>
          <w:lang w:val="tr-TR" w:eastAsia="ru-RU"/>
        </w:rPr>
        <w:t>). Ancak belli bir süre sonra bu vatandaşlar işgücü pi</w:t>
      </w:r>
      <w:r w:rsidR="00767413" w:rsidRPr="007D507F">
        <w:rPr>
          <w:rFonts w:ascii="Times New Roman" w:eastAsia="Times New Roman" w:hAnsi="Times New Roman" w:cs="Times New Roman"/>
          <w:sz w:val="24"/>
          <w:szCs w:val="24"/>
          <w:shd w:val="clear" w:color="auto" w:fill="FFFFFF"/>
          <w:lang w:val="tr-TR" w:eastAsia="ru-RU"/>
        </w:rPr>
        <w:t>yasasında yerlerini alabilirler. B</w:t>
      </w:r>
      <w:r w:rsidR="00B31642" w:rsidRPr="007D507F">
        <w:rPr>
          <w:rFonts w:ascii="Times New Roman" w:eastAsia="Times New Roman" w:hAnsi="Times New Roman" w:cs="Times New Roman"/>
          <w:sz w:val="24"/>
          <w:szCs w:val="24"/>
          <w:shd w:val="clear" w:color="auto" w:fill="FFFFFF"/>
          <w:lang w:val="tr-TR" w:eastAsia="ru-RU"/>
        </w:rPr>
        <w:t>u</w:t>
      </w:r>
      <w:r w:rsidR="00767413" w:rsidRPr="007D507F">
        <w:rPr>
          <w:rFonts w:ascii="Times New Roman" w:eastAsia="Times New Roman" w:hAnsi="Times New Roman" w:cs="Times New Roman"/>
          <w:sz w:val="24"/>
          <w:szCs w:val="24"/>
          <w:shd w:val="clear" w:color="auto" w:fill="FFFFFF"/>
          <w:lang w:val="tr-TR" w:eastAsia="ru-RU"/>
        </w:rPr>
        <w:t xml:space="preserve"> işgücü </w:t>
      </w:r>
      <w:r w:rsidR="00B31642" w:rsidRPr="007D507F">
        <w:rPr>
          <w:rFonts w:ascii="Times New Roman" w:eastAsia="Times New Roman" w:hAnsi="Times New Roman" w:cs="Times New Roman"/>
          <w:sz w:val="24"/>
          <w:szCs w:val="24"/>
          <w:shd w:val="clear" w:color="auto" w:fill="FFFFFF"/>
          <w:lang w:val="tr-TR" w:eastAsia="ru-RU"/>
        </w:rPr>
        <w:t xml:space="preserve">kalitesinden </w:t>
      </w:r>
      <w:r w:rsidRPr="007D507F">
        <w:rPr>
          <w:rFonts w:ascii="Times New Roman" w:eastAsia="Times New Roman" w:hAnsi="Times New Roman" w:cs="Times New Roman"/>
          <w:sz w:val="24"/>
          <w:szCs w:val="24"/>
          <w:shd w:val="clear" w:color="auto" w:fill="FFFFFF"/>
          <w:lang w:val="tr-TR" w:eastAsia="ru-RU"/>
        </w:rPr>
        <w:t xml:space="preserve">ekonominin reel sektörünü temsil eden </w:t>
      </w:r>
      <w:r w:rsidR="00B31642" w:rsidRPr="007D507F">
        <w:rPr>
          <w:rFonts w:ascii="Times New Roman" w:eastAsia="Times New Roman" w:hAnsi="Times New Roman" w:cs="Times New Roman"/>
          <w:sz w:val="24"/>
          <w:szCs w:val="24"/>
          <w:shd w:val="clear" w:color="auto" w:fill="FFFFFF"/>
          <w:lang w:val="tr-TR" w:eastAsia="ru-RU"/>
        </w:rPr>
        <w:t>imalat işletmele</w:t>
      </w:r>
      <w:r w:rsidR="00767413" w:rsidRPr="007D507F">
        <w:rPr>
          <w:rFonts w:ascii="Times New Roman" w:eastAsia="Times New Roman" w:hAnsi="Times New Roman" w:cs="Times New Roman"/>
          <w:sz w:val="24"/>
          <w:szCs w:val="24"/>
          <w:shd w:val="clear" w:color="auto" w:fill="FFFFFF"/>
          <w:lang w:val="tr-TR" w:eastAsia="ru-RU"/>
        </w:rPr>
        <w:t xml:space="preserve">rinin gelişmesi etkilenecektir. </w:t>
      </w:r>
      <w:r w:rsidRPr="007D507F">
        <w:rPr>
          <w:rFonts w:ascii="Times New Roman" w:eastAsia="Times New Roman" w:hAnsi="Times New Roman" w:cs="Times New Roman"/>
          <w:sz w:val="24"/>
          <w:szCs w:val="24"/>
          <w:shd w:val="clear" w:color="auto" w:fill="FFFFFF"/>
          <w:lang w:val="tr-TR" w:eastAsia="ru-RU"/>
        </w:rPr>
        <w:t>Tablo</w:t>
      </w:r>
      <w:r w:rsidR="004060A3" w:rsidRPr="007D507F">
        <w:rPr>
          <w:rFonts w:ascii="Times New Roman" w:eastAsia="Times New Roman" w:hAnsi="Times New Roman" w:cs="Times New Roman"/>
          <w:sz w:val="24"/>
          <w:szCs w:val="24"/>
          <w:shd w:val="clear" w:color="auto" w:fill="FFFFFF"/>
          <w:lang w:val="tr-TR" w:eastAsia="ru-RU"/>
        </w:rPr>
        <w:t xml:space="preserve"> </w:t>
      </w:r>
      <w:r w:rsidR="002C7F4E" w:rsidRPr="007D507F">
        <w:rPr>
          <w:rFonts w:ascii="Times New Roman" w:eastAsia="Times New Roman" w:hAnsi="Times New Roman" w:cs="Times New Roman"/>
          <w:sz w:val="24"/>
          <w:szCs w:val="24"/>
          <w:shd w:val="clear" w:color="auto" w:fill="FFFFFF"/>
          <w:lang w:val="tr-TR" w:eastAsia="ru-RU"/>
        </w:rPr>
        <w:t>2</w:t>
      </w:r>
      <w:r w:rsidR="004060A3" w:rsidRPr="007D507F">
        <w:rPr>
          <w:rFonts w:ascii="Times New Roman" w:eastAsia="Times New Roman" w:hAnsi="Times New Roman" w:cs="Times New Roman"/>
          <w:sz w:val="24"/>
          <w:szCs w:val="24"/>
          <w:shd w:val="clear" w:color="auto" w:fill="FFFFFF"/>
          <w:lang w:val="tr-TR" w:eastAsia="ru-RU"/>
        </w:rPr>
        <w:t>’</w:t>
      </w:r>
      <w:r w:rsidR="002C7F4E" w:rsidRPr="007D507F">
        <w:rPr>
          <w:rFonts w:ascii="Times New Roman" w:eastAsia="Times New Roman" w:hAnsi="Times New Roman" w:cs="Times New Roman"/>
          <w:sz w:val="24"/>
          <w:szCs w:val="24"/>
          <w:shd w:val="clear" w:color="auto" w:fill="FFFFFF"/>
          <w:lang w:val="tr-TR" w:eastAsia="ru-RU"/>
        </w:rPr>
        <w:t>y</w:t>
      </w:r>
      <w:r w:rsidR="004060A3" w:rsidRPr="007D507F">
        <w:rPr>
          <w:rFonts w:ascii="Times New Roman" w:eastAsia="Times New Roman" w:hAnsi="Times New Roman" w:cs="Times New Roman"/>
          <w:sz w:val="24"/>
          <w:szCs w:val="24"/>
          <w:shd w:val="clear" w:color="auto" w:fill="FFFFFF"/>
          <w:lang w:val="tr-TR" w:eastAsia="ru-RU"/>
        </w:rPr>
        <w:t>e göre t</w:t>
      </w:r>
      <w:r w:rsidRPr="007D507F">
        <w:rPr>
          <w:rFonts w:ascii="Times New Roman" w:eastAsia="Times New Roman" w:hAnsi="Times New Roman" w:cs="Times New Roman"/>
          <w:sz w:val="24"/>
          <w:szCs w:val="24"/>
          <w:shd w:val="clear" w:color="auto" w:fill="FFFFFF"/>
          <w:lang w:val="tr-TR" w:eastAsia="ru-RU"/>
        </w:rPr>
        <w:t>ıbbi bakım, hastanelerde tedavi gören emekliler ve çocuklar gibi sosyal olarak savunmasız bir insan kategorisi için de yetersiz finanse edilmektedir.</w:t>
      </w:r>
    </w:p>
    <w:p w14:paraId="44357BA0" w14:textId="49D54E11" w:rsidR="00767413" w:rsidRPr="007D507F" w:rsidRDefault="001431E4" w:rsidP="005E4A12">
      <w:pPr>
        <w:shd w:val="clear" w:color="auto" w:fill="FFFFFF"/>
        <w:tabs>
          <w:tab w:val="left" w:pos="1418"/>
        </w:tabs>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 xml:space="preserve">Kalıntı finansman ilkesinin sonucu, sağlık kurumlarının zayıf maddi ve teknik temelidir. Burada </w:t>
      </w:r>
      <w:r w:rsidR="004C1CDF" w:rsidRPr="007D507F">
        <w:rPr>
          <w:rFonts w:ascii="Times New Roman" w:eastAsia="Times New Roman" w:hAnsi="Times New Roman" w:cs="Times New Roman"/>
          <w:sz w:val="24"/>
          <w:szCs w:val="24"/>
          <w:shd w:val="clear" w:color="auto" w:fill="FFFFFF"/>
          <w:lang w:val="tr-TR" w:eastAsia="ru-RU"/>
        </w:rPr>
        <w:t xml:space="preserve">hem </w:t>
      </w:r>
      <w:r w:rsidRPr="007D507F">
        <w:rPr>
          <w:rFonts w:ascii="Times New Roman" w:eastAsia="Times New Roman" w:hAnsi="Times New Roman" w:cs="Times New Roman"/>
          <w:sz w:val="24"/>
          <w:szCs w:val="24"/>
          <w:shd w:val="clear" w:color="auto" w:fill="FFFFFF"/>
          <w:lang w:val="tr-TR" w:eastAsia="ru-RU"/>
        </w:rPr>
        <w:t>büyük onarım</w:t>
      </w:r>
      <w:r w:rsidR="00845342" w:rsidRPr="007D507F">
        <w:rPr>
          <w:rFonts w:ascii="Times New Roman" w:eastAsia="Times New Roman" w:hAnsi="Times New Roman" w:cs="Times New Roman"/>
          <w:sz w:val="24"/>
          <w:szCs w:val="24"/>
          <w:shd w:val="clear" w:color="auto" w:fill="FFFFFF"/>
          <w:lang w:val="tr-TR" w:eastAsia="ru-RU"/>
        </w:rPr>
        <w:t>lar</w:t>
      </w:r>
      <w:r w:rsidRPr="007D507F">
        <w:rPr>
          <w:rFonts w:ascii="Times New Roman" w:eastAsia="Times New Roman" w:hAnsi="Times New Roman" w:cs="Times New Roman"/>
          <w:sz w:val="24"/>
          <w:szCs w:val="24"/>
          <w:shd w:val="clear" w:color="auto" w:fill="FFFFFF"/>
          <w:lang w:val="tr-TR" w:eastAsia="ru-RU"/>
        </w:rPr>
        <w:t xml:space="preserve"> için fon eksikliği</w:t>
      </w:r>
      <w:r w:rsidR="00C14908" w:rsidRPr="007D507F">
        <w:rPr>
          <w:rFonts w:ascii="Times New Roman" w:eastAsia="Times New Roman" w:hAnsi="Times New Roman" w:cs="Times New Roman"/>
          <w:sz w:val="24"/>
          <w:szCs w:val="24"/>
          <w:shd w:val="clear" w:color="auto" w:fill="FFFFFF"/>
          <w:lang w:val="tr-TR" w:eastAsia="ru-RU"/>
        </w:rPr>
        <w:t>,</w:t>
      </w:r>
      <w:r w:rsidR="00845342" w:rsidRPr="007D507F">
        <w:rPr>
          <w:rFonts w:ascii="Times New Roman" w:eastAsia="Times New Roman" w:hAnsi="Times New Roman" w:cs="Times New Roman"/>
          <w:sz w:val="24"/>
          <w:szCs w:val="24"/>
          <w:shd w:val="clear" w:color="auto" w:fill="FFFFFF"/>
          <w:lang w:val="tr-TR" w:eastAsia="ru-RU"/>
        </w:rPr>
        <w:t xml:space="preserve"> </w:t>
      </w:r>
      <w:r w:rsidR="009E7094" w:rsidRPr="007D507F">
        <w:rPr>
          <w:rFonts w:ascii="Times New Roman" w:eastAsia="Times New Roman" w:hAnsi="Times New Roman" w:cs="Times New Roman"/>
          <w:sz w:val="24"/>
          <w:szCs w:val="24"/>
          <w:shd w:val="clear" w:color="auto" w:fill="FFFFFF"/>
          <w:lang w:val="tr-TR" w:eastAsia="ru-RU"/>
        </w:rPr>
        <w:t>hem</w:t>
      </w:r>
      <w:r w:rsidRPr="007D507F">
        <w:rPr>
          <w:rFonts w:ascii="Times New Roman" w:eastAsia="Times New Roman" w:hAnsi="Times New Roman" w:cs="Times New Roman"/>
          <w:sz w:val="24"/>
          <w:szCs w:val="24"/>
          <w:shd w:val="clear" w:color="auto" w:fill="FFFFFF"/>
          <w:lang w:val="tr-TR" w:eastAsia="ru-RU"/>
        </w:rPr>
        <w:t xml:space="preserve"> ilaç, ekipman, mal ve hizmetlerin kamu alımlarıyla ilgili sorunlar bulunmaktadır. Sağlanan tıbbi hizmetlerin, yani Devlet Garanti Programı kapsamında ücretsiz olarak sunulan hizmetlerin kalitesinin yetersiz olmasının temelinde bu neden yatmaktadır. </w:t>
      </w:r>
      <w:r w:rsidR="00845342" w:rsidRPr="007D507F">
        <w:rPr>
          <w:rFonts w:ascii="Times New Roman" w:eastAsia="Times New Roman" w:hAnsi="Times New Roman" w:cs="Times New Roman"/>
          <w:sz w:val="24"/>
          <w:szCs w:val="24"/>
          <w:shd w:val="clear" w:color="auto" w:fill="FFFFFF"/>
          <w:lang w:val="tr-TR" w:eastAsia="ru-RU"/>
        </w:rPr>
        <w:t xml:space="preserve">Burada </w:t>
      </w:r>
      <w:r w:rsidRPr="007D507F">
        <w:rPr>
          <w:rFonts w:ascii="Times New Roman" w:eastAsia="Times New Roman" w:hAnsi="Times New Roman" w:cs="Times New Roman"/>
          <w:sz w:val="24"/>
          <w:szCs w:val="24"/>
          <w:shd w:val="clear" w:color="auto" w:fill="FFFFFF"/>
          <w:lang w:val="tr-TR" w:eastAsia="ru-RU"/>
        </w:rPr>
        <w:t xml:space="preserve">bir kez daha </w:t>
      </w:r>
      <w:r w:rsidR="004C1CDF" w:rsidRPr="007D507F">
        <w:rPr>
          <w:rFonts w:ascii="Times New Roman" w:eastAsia="Times New Roman" w:hAnsi="Times New Roman" w:cs="Times New Roman"/>
          <w:sz w:val="24"/>
          <w:szCs w:val="24"/>
          <w:shd w:val="clear" w:color="auto" w:fill="FFFFFF"/>
          <w:lang w:val="tr-TR" w:eastAsia="ru-RU"/>
        </w:rPr>
        <w:t>Devlet Garanti P</w:t>
      </w:r>
      <w:r w:rsidRPr="007D507F">
        <w:rPr>
          <w:rFonts w:ascii="Times New Roman" w:eastAsia="Times New Roman" w:hAnsi="Times New Roman" w:cs="Times New Roman"/>
          <w:sz w:val="24"/>
          <w:szCs w:val="24"/>
          <w:shd w:val="clear" w:color="auto" w:fill="FFFFFF"/>
          <w:lang w:val="tr-TR" w:eastAsia="ru-RU"/>
        </w:rPr>
        <w:t>rogram</w:t>
      </w:r>
      <w:r w:rsidR="00893343" w:rsidRPr="007D507F">
        <w:rPr>
          <w:rFonts w:ascii="Times New Roman" w:eastAsia="Times New Roman" w:hAnsi="Times New Roman" w:cs="Times New Roman"/>
          <w:sz w:val="24"/>
          <w:szCs w:val="24"/>
          <w:shd w:val="clear" w:color="auto" w:fill="FFFFFF"/>
          <w:lang w:val="tr-TR" w:eastAsia="ru-RU"/>
        </w:rPr>
        <w:t>ın</w:t>
      </w:r>
      <w:r w:rsidRPr="007D507F">
        <w:rPr>
          <w:rFonts w:ascii="Times New Roman" w:eastAsia="Times New Roman" w:hAnsi="Times New Roman" w:cs="Times New Roman"/>
          <w:sz w:val="24"/>
          <w:szCs w:val="24"/>
          <w:shd w:val="clear" w:color="auto" w:fill="FFFFFF"/>
          <w:lang w:val="tr-TR" w:eastAsia="ru-RU"/>
        </w:rPr>
        <w:t xml:space="preserve">da devlet bütçesi </w:t>
      </w:r>
      <w:r w:rsidRPr="007D507F">
        <w:rPr>
          <w:rFonts w:ascii="Times New Roman" w:eastAsia="Times New Roman" w:hAnsi="Times New Roman" w:cs="Times New Roman"/>
          <w:sz w:val="24"/>
          <w:szCs w:val="24"/>
          <w:shd w:val="clear" w:color="auto" w:fill="FFFFFF"/>
          <w:lang w:val="tr-TR" w:eastAsia="ru-RU"/>
        </w:rPr>
        <w:lastRenderedPageBreak/>
        <w:t>temelinde sağlanan yardımı belirtmenin gerekliliğini vurgul</w:t>
      </w:r>
      <w:r w:rsidR="004A4FAC" w:rsidRPr="007D507F">
        <w:rPr>
          <w:rFonts w:ascii="Times New Roman" w:eastAsia="Times New Roman" w:hAnsi="Times New Roman" w:cs="Times New Roman"/>
          <w:sz w:val="24"/>
          <w:szCs w:val="24"/>
          <w:shd w:val="clear" w:color="auto" w:fill="FFFFFF"/>
          <w:lang w:val="tr-TR" w:eastAsia="ru-RU"/>
        </w:rPr>
        <w:t xml:space="preserve">amak gerekir. </w:t>
      </w:r>
      <w:r w:rsidRPr="007D507F">
        <w:rPr>
          <w:rFonts w:ascii="Times New Roman" w:eastAsia="Times New Roman" w:hAnsi="Times New Roman" w:cs="Times New Roman"/>
          <w:sz w:val="24"/>
          <w:szCs w:val="24"/>
          <w:shd w:val="clear" w:color="auto" w:fill="FFFFFF"/>
          <w:lang w:val="tr-TR" w:eastAsia="ru-RU"/>
        </w:rPr>
        <w:t xml:space="preserve"> </w:t>
      </w:r>
      <w:r w:rsidR="004A4FAC" w:rsidRPr="007D507F">
        <w:rPr>
          <w:rFonts w:ascii="Times New Roman" w:eastAsia="Times New Roman" w:hAnsi="Times New Roman" w:cs="Times New Roman"/>
          <w:sz w:val="24"/>
          <w:szCs w:val="24"/>
          <w:shd w:val="clear" w:color="auto" w:fill="FFFFFF"/>
          <w:lang w:val="tr-TR" w:eastAsia="ru-RU"/>
        </w:rPr>
        <w:t>D</w:t>
      </w:r>
      <w:r w:rsidRPr="007D507F">
        <w:rPr>
          <w:rFonts w:ascii="Times New Roman" w:eastAsia="Times New Roman" w:hAnsi="Times New Roman" w:cs="Times New Roman"/>
          <w:sz w:val="24"/>
          <w:szCs w:val="24"/>
          <w:shd w:val="clear" w:color="auto" w:fill="FFFFFF"/>
          <w:lang w:val="tr-TR" w:eastAsia="ru-RU"/>
        </w:rPr>
        <w:t>evletin</w:t>
      </w:r>
      <w:r w:rsidR="004A4FAC" w:rsidRPr="007D507F">
        <w:rPr>
          <w:rFonts w:ascii="Times New Roman" w:eastAsia="Times New Roman" w:hAnsi="Times New Roman" w:cs="Times New Roman"/>
          <w:sz w:val="24"/>
          <w:szCs w:val="24"/>
          <w:shd w:val="clear" w:color="auto" w:fill="FFFFFF"/>
          <w:lang w:val="tr-TR" w:eastAsia="ru-RU"/>
        </w:rPr>
        <w:t xml:space="preserve">, sağlık hizmetlerini </w:t>
      </w:r>
      <w:r w:rsidRPr="007D507F">
        <w:rPr>
          <w:rFonts w:ascii="Times New Roman" w:eastAsia="Times New Roman" w:hAnsi="Times New Roman" w:cs="Times New Roman"/>
          <w:sz w:val="24"/>
          <w:szCs w:val="24"/>
          <w:shd w:val="clear" w:color="auto" w:fill="FFFFFF"/>
          <w:lang w:val="tr-TR" w:eastAsia="ru-RU"/>
        </w:rPr>
        <w:t>finanse edecek fonları</w:t>
      </w:r>
      <w:r w:rsidR="004A4FAC" w:rsidRPr="007D507F">
        <w:rPr>
          <w:rFonts w:ascii="Times New Roman" w:eastAsia="Times New Roman" w:hAnsi="Times New Roman" w:cs="Times New Roman"/>
          <w:sz w:val="24"/>
          <w:szCs w:val="24"/>
          <w:shd w:val="clear" w:color="auto" w:fill="FFFFFF"/>
          <w:lang w:val="tr-TR" w:eastAsia="ru-RU"/>
        </w:rPr>
        <w:t>nın</w:t>
      </w:r>
      <w:r w:rsidRPr="007D507F">
        <w:rPr>
          <w:rFonts w:ascii="Times New Roman" w:eastAsia="Times New Roman" w:hAnsi="Times New Roman" w:cs="Times New Roman"/>
          <w:sz w:val="24"/>
          <w:szCs w:val="24"/>
          <w:shd w:val="clear" w:color="auto" w:fill="FFFFFF"/>
          <w:lang w:val="tr-TR" w:eastAsia="ru-RU"/>
        </w:rPr>
        <w:t xml:space="preserve"> </w:t>
      </w:r>
      <w:r w:rsidR="004A4FAC" w:rsidRPr="007D507F">
        <w:rPr>
          <w:rFonts w:ascii="Times New Roman" w:eastAsia="Times New Roman" w:hAnsi="Times New Roman" w:cs="Times New Roman"/>
          <w:sz w:val="24"/>
          <w:szCs w:val="24"/>
          <w:shd w:val="clear" w:color="auto" w:fill="FFFFFF"/>
          <w:lang w:val="tr-TR" w:eastAsia="ru-RU"/>
        </w:rPr>
        <w:t xml:space="preserve">yeterli </w:t>
      </w:r>
      <w:r w:rsidRPr="007D507F">
        <w:rPr>
          <w:rFonts w:ascii="Times New Roman" w:eastAsia="Times New Roman" w:hAnsi="Times New Roman" w:cs="Times New Roman"/>
          <w:sz w:val="24"/>
          <w:szCs w:val="24"/>
          <w:shd w:val="clear" w:color="auto" w:fill="FFFFFF"/>
          <w:lang w:val="tr-TR" w:eastAsia="ru-RU"/>
        </w:rPr>
        <w:t>olmadığı</w:t>
      </w:r>
      <w:r w:rsidR="004A4FAC" w:rsidRPr="007D507F">
        <w:rPr>
          <w:rFonts w:ascii="Times New Roman" w:eastAsia="Times New Roman" w:hAnsi="Times New Roman" w:cs="Times New Roman"/>
          <w:sz w:val="24"/>
          <w:szCs w:val="24"/>
          <w:shd w:val="clear" w:color="auto" w:fill="FFFFFF"/>
          <w:lang w:val="tr-TR" w:eastAsia="ru-RU"/>
        </w:rPr>
        <w:t>nı</w:t>
      </w:r>
      <w:r w:rsidRPr="007D507F">
        <w:rPr>
          <w:rFonts w:ascii="Times New Roman" w:eastAsia="Times New Roman" w:hAnsi="Times New Roman" w:cs="Times New Roman"/>
          <w:sz w:val="24"/>
          <w:szCs w:val="24"/>
          <w:shd w:val="clear" w:color="auto" w:fill="FFFFFF"/>
          <w:lang w:val="tr-TR" w:eastAsia="ru-RU"/>
        </w:rPr>
        <w:t xml:space="preserve"> ve </w:t>
      </w:r>
      <w:r w:rsidR="004A4FAC" w:rsidRPr="007D507F">
        <w:rPr>
          <w:rFonts w:ascii="Times New Roman" w:eastAsia="Times New Roman" w:hAnsi="Times New Roman" w:cs="Times New Roman"/>
          <w:sz w:val="24"/>
          <w:szCs w:val="24"/>
          <w:shd w:val="clear" w:color="auto" w:fill="FFFFFF"/>
          <w:lang w:val="tr-TR" w:eastAsia="ru-RU"/>
        </w:rPr>
        <w:t xml:space="preserve">verilen hizmetlerden ortaya çıkan tedavi masraflarını </w:t>
      </w:r>
      <w:r w:rsidRPr="007D507F">
        <w:rPr>
          <w:rFonts w:ascii="Times New Roman" w:eastAsia="Times New Roman" w:hAnsi="Times New Roman" w:cs="Times New Roman"/>
          <w:sz w:val="24"/>
          <w:szCs w:val="24"/>
          <w:shd w:val="clear" w:color="auto" w:fill="FFFFFF"/>
          <w:lang w:val="tr-TR" w:eastAsia="ru-RU"/>
        </w:rPr>
        <w:t>hastaların kendilerinin ödemesi gereken hizmet türlerini b</w:t>
      </w:r>
      <w:r w:rsidR="004A4FAC" w:rsidRPr="007D507F">
        <w:rPr>
          <w:rFonts w:ascii="Times New Roman" w:eastAsia="Times New Roman" w:hAnsi="Times New Roman" w:cs="Times New Roman"/>
          <w:sz w:val="24"/>
          <w:szCs w:val="24"/>
          <w:shd w:val="clear" w:color="auto" w:fill="FFFFFF"/>
          <w:lang w:val="tr-TR" w:eastAsia="ru-RU"/>
        </w:rPr>
        <w:t>urada belirtmek gerekir.</w:t>
      </w:r>
    </w:p>
    <w:p w14:paraId="370A3B72" w14:textId="77777777" w:rsidR="0016791B" w:rsidRPr="007D507F" w:rsidRDefault="001431E4" w:rsidP="005E4A12">
      <w:pPr>
        <w:shd w:val="clear" w:color="auto" w:fill="FFFFFF"/>
        <w:tabs>
          <w:tab w:val="left" w:pos="1418"/>
        </w:tabs>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Laboratuvar ve teşhis testleri gibi ücretsiz hizmetler alabilmek için hastanın bir sevk alması gereki</w:t>
      </w:r>
      <w:r w:rsidR="00845342" w:rsidRPr="007D507F">
        <w:rPr>
          <w:rFonts w:ascii="Times New Roman" w:eastAsia="Times New Roman" w:hAnsi="Times New Roman" w:cs="Times New Roman"/>
          <w:sz w:val="24"/>
          <w:szCs w:val="24"/>
          <w:shd w:val="clear" w:color="auto" w:fill="FFFFFF"/>
          <w:lang w:val="tr-TR" w:eastAsia="ru-RU"/>
        </w:rPr>
        <w:t xml:space="preserve">r. </w:t>
      </w:r>
      <w:r w:rsidR="009D3AE2" w:rsidRPr="007D507F">
        <w:rPr>
          <w:rFonts w:ascii="Times New Roman" w:eastAsia="Times New Roman" w:hAnsi="Times New Roman" w:cs="Times New Roman"/>
          <w:sz w:val="24"/>
          <w:szCs w:val="24"/>
          <w:shd w:val="clear" w:color="auto" w:fill="FFFFFF"/>
          <w:lang w:val="tr-TR" w:eastAsia="ru-RU"/>
        </w:rPr>
        <w:t>Teorik olarak bu testlerin ücretsiz olarak varsayılmasına rağmen, pratikte</w:t>
      </w:r>
      <w:r w:rsidR="004C1CDF"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sz w:val="24"/>
          <w:szCs w:val="24"/>
          <w:shd w:val="clear" w:color="auto" w:fill="FFFFFF"/>
          <w:lang w:val="tr-TR" w:eastAsia="ru-RU"/>
        </w:rPr>
        <w:t>hastalar laboratuvar testleri için sıklıkla özel tıp merkezlerine ve laboratuvarlara başvur</w:t>
      </w:r>
      <w:r w:rsidR="00845342" w:rsidRPr="007D507F">
        <w:rPr>
          <w:rFonts w:ascii="Times New Roman" w:eastAsia="Times New Roman" w:hAnsi="Times New Roman" w:cs="Times New Roman"/>
          <w:sz w:val="24"/>
          <w:szCs w:val="24"/>
          <w:shd w:val="clear" w:color="auto" w:fill="FFFFFF"/>
          <w:lang w:val="tr-TR" w:eastAsia="ru-RU"/>
        </w:rPr>
        <w:t>maktadırlar</w:t>
      </w:r>
      <w:r w:rsidR="00DE68B3" w:rsidRPr="007D507F">
        <w:rPr>
          <w:rFonts w:ascii="Times New Roman" w:eastAsia="Times New Roman" w:hAnsi="Times New Roman" w:cs="Times New Roman"/>
          <w:sz w:val="24"/>
          <w:szCs w:val="24"/>
          <w:shd w:val="clear" w:color="auto" w:fill="FFFFFF"/>
          <w:lang w:val="tr-TR" w:eastAsia="ru-RU"/>
        </w:rPr>
        <w:t xml:space="preserve">. </w:t>
      </w:r>
      <w:r w:rsidR="009D3AE2" w:rsidRPr="007D507F">
        <w:rPr>
          <w:rFonts w:ascii="Times New Roman" w:eastAsia="Times New Roman" w:hAnsi="Times New Roman" w:cs="Times New Roman"/>
          <w:sz w:val="24"/>
          <w:szCs w:val="24"/>
          <w:shd w:val="clear" w:color="auto" w:fill="FFFFFF"/>
          <w:lang w:val="tr-TR" w:eastAsia="ru-RU"/>
        </w:rPr>
        <w:t>Kamu sağlık sistemine bu kapsamda sağlanan</w:t>
      </w:r>
      <w:r w:rsidR="00DA0C21" w:rsidRPr="007D507F">
        <w:rPr>
          <w:rFonts w:ascii="Times New Roman" w:eastAsia="Times New Roman" w:hAnsi="Times New Roman" w:cs="Times New Roman"/>
          <w:sz w:val="24"/>
          <w:szCs w:val="24"/>
          <w:shd w:val="clear" w:color="auto" w:fill="FFFFFF"/>
          <w:lang w:val="tr-TR" w:eastAsia="ru-RU"/>
        </w:rPr>
        <w:t xml:space="preserve"> </w:t>
      </w:r>
      <w:r w:rsidR="009D3AE2" w:rsidRPr="007D507F">
        <w:rPr>
          <w:rFonts w:ascii="Times New Roman" w:eastAsia="Times New Roman" w:hAnsi="Times New Roman" w:cs="Times New Roman"/>
          <w:sz w:val="24"/>
          <w:szCs w:val="24"/>
          <w:shd w:val="clear" w:color="auto" w:fill="FFFFFF"/>
          <w:lang w:val="tr-TR" w:eastAsia="ru-RU"/>
        </w:rPr>
        <w:t>kaynaklar ise</w:t>
      </w:r>
      <w:r w:rsidRPr="007D507F">
        <w:rPr>
          <w:rFonts w:ascii="Times New Roman" w:eastAsia="Times New Roman" w:hAnsi="Times New Roman" w:cs="Times New Roman"/>
          <w:sz w:val="24"/>
          <w:szCs w:val="24"/>
          <w:shd w:val="clear" w:color="auto" w:fill="FFFFFF"/>
          <w:lang w:val="tr-TR" w:eastAsia="ru-RU"/>
        </w:rPr>
        <w:t xml:space="preserve">, amacına uygun olarak </w:t>
      </w:r>
      <w:r w:rsidR="00276C2A" w:rsidRPr="007D507F">
        <w:rPr>
          <w:rFonts w:ascii="Times New Roman" w:eastAsia="Times New Roman" w:hAnsi="Times New Roman" w:cs="Times New Roman"/>
          <w:sz w:val="24"/>
          <w:szCs w:val="24"/>
          <w:shd w:val="clear" w:color="auto" w:fill="FFFFFF"/>
          <w:lang w:val="tr-TR" w:eastAsia="ru-RU"/>
        </w:rPr>
        <w:t>kullanılmamaktadır.</w:t>
      </w:r>
      <w:r w:rsidRPr="007D507F">
        <w:rPr>
          <w:rFonts w:ascii="Times New Roman" w:eastAsia="Times New Roman" w:hAnsi="Times New Roman" w:cs="Times New Roman"/>
          <w:sz w:val="24"/>
          <w:szCs w:val="24"/>
          <w:shd w:val="clear" w:color="auto" w:fill="FFFFFF"/>
          <w:lang w:val="tr-TR" w:eastAsia="ru-RU"/>
        </w:rPr>
        <w:t xml:space="preserve"> İyileşme ve fizyoterapi prosedürleriyle ilgili t</w:t>
      </w:r>
      <w:r w:rsidR="00767413" w:rsidRPr="007D507F">
        <w:rPr>
          <w:rFonts w:ascii="Times New Roman" w:eastAsia="Times New Roman" w:hAnsi="Times New Roman" w:cs="Times New Roman"/>
          <w:sz w:val="24"/>
          <w:szCs w:val="24"/>
          <w:shd w:val="clear" w:color="auto" w:fill="FFFFFF"/>
          <w:lang w:val="tr-TR" w:eastAsia="ru-RU"/>
        </w:rPr>
        <w:t xml:space="preserve">amamlanmamış başka bir yön daha </w:t>
      </w:r>
      <w:r w:rsidR="004C1CDF" w:rsidRPr="007D507F">
        <w:rPr>
          <w:rFonts w:ascii="Times New Roman" w:eastAsia="Times New Roman" w:hAnsi="Times New Roman" w:cs="Times New Roman"/>
          <w:sz w:val="24"/>
          <w:szCs w:val="24"/>
          <w:shd w:val="clear" w:color="auto" w:fill="FFFFFF"/>
          <w:lang w:val="tr-TR" w:eastAsia="ru-RU"/>
        </w:rPr>
        <w:t>bulunmaktadır</w:t>
      </w:r>
      <w:r w:rsidRPr="007D507F">
        <w:rPr>
          <w:rFonts w:ascii="Times New Roman" w:eastAsia="Times New Roman" w:hAnsi="Times New Roman" w:cs="Times New Roman"/>
          <w:sz w:val="24"/>
          <w:szCs w:val="24"/>
          <w:shd w:val="clear" w:color="auto" w:fill="FFFFFF"/>
          <w:lang w:val="tr-TR" w:eastAsia="ru-RU"/>
        </w:rPr>
        <w:t xml:space="preserve">. Bir vatandaş sigortalıysa, ilgili test ona ücretsiz olarak verilir. Sigortası olmayan vatandaşlar, söz konusu işlem için fiyat listesine tabi olmaktadırlar. </w:t>
      </w:r>
    </w:p>
    <w:p w14:paraId="66789010" w14:textId="1E975710" w:rsidR="00E51141" w:rsidRPr="007D507F" w:rsidRDefault="001431E4" w:rsidP="005E4A12">
      <w:pPr>
        <w:shd w:val="clear" w:color="auto" w:fill="FFFFFF"/>
        <w:tabs>
          <w:tab w:val="left" w:pos="1418"/>
        </w:tabs>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Aile hekimliği merkezlerinde (A</w:t>
      </w:r>
      <w:r w:rsidR="004E2F84" w:rsidRPr="007D507F">
        <w:rPr>
          <w:rFonts w:ascii="Times New Roman" w:eastAsia="Times New Roman" w:hAnsi="Times New Roman" w:cs="Times New Roman"/>
          <w:sz w:val="24"/>
          <w:szCs w:val="24"/>
          <w:shd w:val="clear" w:color="auto" w:fill="FFFFFF"/>
          <w:lang w:val="tr-TR" w:eastAsia="ru-RU"/>
        </w:rPr>
        <w:t>H</w:t>
      </w:r>
      <w:r w:rsidRPr="007D507F">
        <w:rPr>
          <w:rFonts w:ascii="Times New Roman" w:eastAsia="Times New Roman" w:hAnsi="Times New Roman" w:cs="Times New Roman"/>
          <w:sz w:val="24"/>
          <w:szCs w:val="24"/>
          <w:shd w:val="clear" w:color="auto" w:fill="FFFFFF"/>
          <w:lang w:val="tr-TR" w:eastAsia="ru-RU"/>
        </w:rPr>
        <w:t>M) ve aile hekimi grupları</w:t>
      </w:r>
      <w:r w:rsidR="00276C2A" w:rsidRPr="007D507F">
        <w:rPr>
          <w:rFonts w:ascii="Times New Roman" w:eastAsia="Times New Roman" w:hAnsi="Times New Roman" w:cs="Times New Roman"/>
          <w:sz w:val="24"/>
          <w:szCs w:val="24"/>
          <w:shd w:val="clear" w:color="auto" w:fill="FFFFFF"/>
          <w:lang w:val="tr-TR" w:eastAsia="ru-RU"/>
        </w:rPr>
        <w:t>nda (A</w:t>
      </w:r>
      <w:r w:rsidR="004E2F84" w:rsidRPr="007D507F">
        <w:rPr>
          <w:rFonts w:ascii="Times New Roman" w:eastAsia="Times New Roman" w:hAnsi="Times New Roman" w:cs="Times New Roman"/>
          <w:sz w:val="24"/>
          <w:szCs w:val="24"/>
          <w:shd w:val="clear" w:color="auto" w:fill="FFFFFF"/>
          <w:lang w:val="tr-TR" w:eastAsia="ru-RU"/>
        </w:rPr>
        <w:t xml:space="preserve">HG) kendilerine atanmamış </w:t>
      </w:r>
      <w:r w:rsidRPr="007D507F">
        <w:rPr>
          <w:rFonts w:ascii="Times New Roman" w:eastAsia="Times New Roman" w:hAnsi="Times New Roman" w:cs="Times New Roman"/>
          <w:sz w:val="24"/>
          <w:szCs w:val="24"/>
          <w:shd w:val="clear" w:color="auto" w:fill="FFFFFF"/>
          <w:lang w:val="tr-TR" w:eastAsia="ru-RU"/>
        </w:rPr>
        <w:t xml:space="preserve">vatandaşlara hizmet verme prosedürü de düzenlenmemiştir. Atanmamışsa, avantajlardan yararlanma hakkına rağmen hizmetler için fiyat listesinden ödeme yapmaları gerekmektedir. Yeni fiyatlara erişimin olmaması gibi bir durum da bulunmaktadır. Akut kıtlık durumunda mevcut fonların irrasyonel kullanımına da </w:t>
      </w:r>
      <w:r w:rsidR="00276C2A" w:rsidRPr="007D507F">
        <w:rPr>
          <w:rFonts w:ascii="Times New Roman" w:eastAsia="Times New Roman" w:hAnsi="Times New Roman" w:cs="Times New Roman"/>
          <w:sz w:val="24"/>
          <w:szCs w:val="24"/>
          <w:shd w:val="clear" w:color="auto" w:fill="FFFFFF"/>
          <w:lang w:val="tr-TR" w:eastAsia="ru-RU"/>
        </w:rPr>
        <w:t>dikkat edilmelidir. Tek Ödeyici’</w:t>
      </w:r>
      <w:r w:rsidRPr="007D507F">
        <w:rPr>
          <w:rFonts w:ascii="Times New Roman" w:eastAsia="Times New Roman" w:hAnsi="Times New Roman" w:cs="Times New Roman"/>
          <w:sz w:val="24"/>
          <w:szCs w:val="24"/>
          <w:shd w:val="clear" w:color="auto" w:fill="FFFFFF"/>
          <w:lang w:val="tr-TR" w:eastAsia="ru-RU"/>
        </w:rPr>
        <w:t>nin gelir kalemi raporlama verilerine göre 2019 yılı başında kullanılmayan fon bakiyesi 1.065,8 mi</w:t>
      </w:r>
      <w:r w:rsidR="00276C2A" w:rsidRPr="007D507F">
        <w:rPr>
          <w:rFonts w:ascii="Times New Roman" w:eastAsia="Times New Roman" w:hAnsi="Times New Roman" w:cs="Times New Roman"/>
          <w:sz w:val="24"/>
          <w:szCs w:val="24"/>
          <w:shd w:val="clear" w:color="auto" w:fill="FFFFFF"/>
          <w:lang w:val="tr-TR" w:eastAsia="ru-RU"/>
        </w:rPr>
        <w:t>lyon S</w:t>
      </w:r>
      <w:r w:rsidRPr="007D507F">
        <w:rPr>
          <w:rFonts w:ascii="Times New Roman" w:eastAsia="Times New Roman" w:hAnsi="Times New Roman" w:cs="Times New Roman"/>
          <w:sz w:val="24"/>
          <w:szCs w:val="24"/>
          <w:shd w:val="clear" w:color="auto" w:fill="FFFFFF"/>
          <w:lang w:val="tr-TR" w:eastAsia="ru-RU"/>
        </w:rPr>
        <w:t>om olarak gerçekleş</w:t>
      </w:r>
      <w:r w:rsidR="000307FF" w:rsidRPr="007D507F">
        <w:rPr>
          <w:rFonts w:ascii="Times New Roman" w:eastAsia="Times New Roman" w:hAnsi="Times New Roman" w:cs="Times New Roman"/>
          <w:sz w:val="24"/>
          <w:szCs w:val="24"/>
          <w:shd w:val="clear" w:color="auto" w:fill="FFFFFF"/>
          <w:lang w:val="tr-TR" w:eastAsia="ru-RU"/>
        </w:rPr>
        <w:t>miş</w:t>
      </w:r>
      <w:r w:rsidRPr="007D507F">
        <w:rPr>
          <w:rFonts w:ascii="Times New Roman" w:eastAsia="Times New Roman" w:hAnsi="Times New Roman" w:cs="Times New Roman"/>
          <w:sz w:val="24"/>
          <w:szCs w:val="24"/>
          <w:shd w:val="clear" w:color="auto" w:fill="FFFFFF"/>
          <w:lang w:val="tr-TR" w:eastAsia="ru-RU"/>
        </w:rPr>
        <w:t>ti</w:t>
      </w:r>
      <w:r w:rsidR="000307FF" w:rsidRPr="007D507F">
        <w:rPr>
          <w:rFonts w:ascii="Times New Roman" w:eastAsia="Times New Roman" w:hAnsi="Times New Roman" w:cs="Times New Roman"/>
          <w:sz w:val="24"/>
          <w:szCs w:val="24"/>
          <w:shd w:val="clear" w:color="auto" w:fill="FFFFFF"/>
          <w:lang w:val="tr-TR" w:eastAsia="ru-RU"/>
        </w:rPr>
        <w:t>r</w:t>
      </w:r>
      <w:r w:rsidRPr="007D507F">
        <w:rPr>
          <w:rFonts w:ascii="Times New Roman" w:eastAsia="Times New Roman" w:hAnsi="Times New Roman" w:cs="Times New Roman"/>
          <w:sz w:val="24"/>
          <w:szCs w:val="24"/>
          <w:shd w:val="clear" w:color="auto" w:fill="FFFFFF"/>
          <w:lang w:val="tr-TR" w:eastAsia="ru-RU"/>
        </w:rPr>
        <w:t>. Zorunlu Sağlık Sigortası Fonu</w:t>
      </w:r>
      <w:r w:rsidR="00276C2A" w:rsidRPr="007D507F">
        <w:rPr>
          <w:rFonts w:ascii="Times New Roman" w:eastAsia="Times New Roman" w:hAnsi="Times New Roman" w:cs="Times New Roman"/>
          <w:sz w:val="24"/>
          <w:szCs w:val="24"/>
          <w:shd w:val="clear" w:color="auto" w:fill="FFFFFF"/>
          <w:lang w:val="tr-TR" w:eastAsia="ru-RU"/>
        </w:rPr>
        <w:t>’</w:t>
      </w:r>
      <w:r w:rsidRPr="007D507F">
        <w:rPr>
          <w:rFonts w:ascii="Times New Roman" w:eastAsia="Times New Roman" w:hAnsi="Times New Roman" w:cs="Times New Roman"/>
          <w:sz w:val="24"/>
          <w:szCs w:val="24"/>
          <w:shd w:val="clear" w:color="auto" w:fill="FFFFFF"/>
          <w:lang w:val="tr-TR" w:eastAsia="ru-RU"/>
        </w:rPr>
        <w:t>nun (</w:t>
      </w:r>
      <w:r w:rsidR="004E2F84" w:rsidRPr="007D507F">
        <w:rPr>
          <w:rFonts w:ascii="Times New Roman" w:eastAsia="Times New Roman" w:hAnsi="Times New Roman" w:cs="Times New Roman"/>
          <w:sz w:val="24"/>
          <w:szCs w:val="24"/>
          <w:shd w:val="clear" w:color="auto" w:fill="FFFFFF"/>
          <w:lang w:val="tr-TR" w:eastAsia="ru-RU"/>
        </w:rPr>
        <w:t>ZSSF</w:t>
      </w:r>
      <w:r w:rsidRPr="007D507F">
        <w:rPr>
          <w:rFonts w:ascii="Times New Roman" w:eastAsia="Times New Roman" w:hAnsi="Times New Roman" w:cs="Times New Roman"/>
          <w:sz w:val="24"/>
          <w:szCs w:val="24"/>
          <w:shd w:val="clear" w:color="auto" w:fill="FFFFFF"/>
          <w:lang w:val="tr-TR" w:eastAsia="ru-RU"/>
        </w:rPr>
        <w:t>) açıklamaları,</w:t>
      </w:r>
      <w:r w:rsidR="00276C2A" w:rsidRPr="007D507F">
        <w:rPr>
          <w:rFonts w:ascii="Times New Roman" w:eastAsia="Times New Roman" w:hAnsi="Times New Roman" w:cs="Times New Roman"/>
          <w:sz w:val="24"/>
          <w:szCs w:val="24"/>
          <w:shd w:val="clear" w:color="auto" w:fill="FFFFFF"/>
          <w:lang w:val="tr-TR" w:eastAsia="ru-RU"/>
        </w:rPr>
        <w:t xml:space="preserve"> Kırgız Cumhuriyeti Sosyal Fonu’</w:t>
      </w:r>
      <w:r w:rsidRPr="007D507F">
        <w:rPr>
          <w:rFonts w:ascii="Times New Roman" w:eastAsia="Times New Roman" w:hAnsi="Times New Roman" w:cs="Times New Roman"/>
          <w:sz w:val="24"/>
          <w:szCs w:val="24"/>
          <w:shd w:val="clear" w:color="auto" w:fill="FFFFFF"/>
          <w:lang w:val="tr-TR" w:eastAsia="ru-RU"/>
        </w:rPr>
        <w:t xml:space="preserve">ndan </w:t>
      </w:r>
      <w:r w:rsidR="004E2F84" w:rsidRPr="007D507F">
        <w:rPr>
          <w:rFonts w:ascii="Times New Roman" w:eastAsia="Times New Roman" w:hAnsi="Times New Roman" w:cs="Times New Roman"/>
          <w:sz w:val="24"/>
          <w:szCs w:val="24"/>
          <w:shd w:val="clear" w:color="auto" w:fill="FFFFFF"/>
          <w:lang w:val="tr-TR" w:eastAsia="ru-RU"/>
        </w:rPr>
        <w:t xml:space="preserve">devlet </w:t>
      </w:r>
      <w:r w:rsidRPr="007D507F">
        <w:rPr>
          <w:rFonts w:ascii="Times New Roman" w:eastAsia="Times New Roman" w:hAnsi="Times New Roman" w:cs="Times New Roman"/>
          <w:sz w:val="24"/>
          <w:szCs w:val="24"/>
          <w:shd w:val="clear" w:color="auto" w:fill="FFFFFF"/>
          <w:lang w:val="tr-TR" w:eastAsia="ru-RU"/>
        </w:rPr>
        <w:t>bütçesinden, ücretli hizmetlerden ve sigorta primlerinden fon alınmasındaki gecikmelere kadar uzan</w:t>
      </w:r>
      <w:r w:rsidR="000307FF" w:rsidRPr="007D507F">
        <w:rPr>
          <w:rFonts w:ascii="Times New Roman" w:eastAsia="Times New Roman" w:hAnsi="Times New Roman" w:cs="Times New Roman"/>
          <w:sz w:val="24"/>
          <w:szCs w:val="24"/>
          <w:shd w:val="clear" w:color="auto" w:fill="FFFFFF"/>
          <w:lang w:val="tr-TR" w:eastAsia="ru-RU"/>
        </w:rPr>
        <w:t>maktadır</w:t>
      </w:r>
      <w:r w:rsidRPr="007D507F">
        <w:rPr>
          <w:rFonts w:ascii="Times New Roman" w:eastAsia="Times New Roman" w:hAnsi="Times New Roman" w:cs="Times New Roman"/>
          <w:sz w:val="24"/>
          <w:szCs w:val="24"/>
          <w:shd w:val="clear" w:color="auto" w:fill="FFFFFF"/>
          <w:lang w:val="tr-TR" w:eastAsia="ru-RU"/>
        </w:rPr>
        <w:t>.</w:t>
      </w:r>
    </w:p>
    <w:p w14:paraId="75A88CA7" w14:textId="77777777" w:rsidR="00161703" w:rsidRPr="007D507F" w:rsidRDefault="00161703" w:rsidP="007D507F">
      <w:pPr>
        <w:shd w:val="clear" w:color="auto" w:fill="FFFFFF"/>
        <w:tabs>
          <w:tab w:val="left" w:pos="1418"/>
        </w:tabs>
        <w:spacing w:after="0" w:line="240" w:lineRule="auto"/>
        <w:ind w:firstLine="426"/>
        <w:jc w:val="both"/>
        <w:rPr>
          <w:rFonts w:ascii="Times New Roman" w:eastAsia="Times New Roman" w:hAnsi="Times New Roman" w:cs="Times New Roman"/>
          <w:sz w:val="24"/>
          <w:szCs w:val="24"/>
          <w:shd w:val="clear" w:color="auto" w:fill="FFFFFF"/>
          <w:lang w:val="tr-TR" w:eastAsia="ru-RU"/>
        </w:rPr>
      </w:pPr>
    </w:p>
    <w:p w14:paraId="1B1C7EAB" w14:textId="21C28DEF" w:rsidR="00B21944" w:rsidRPr="007D507F" w:rsidRDefault="00B21944" w:rsidP="005E4A12">
      <w:pPr>
        <w:pStyle w:val="a4"/>
        <w:numPr>
          <w:ilvl w:val="0"/>
          <w:numId w:val="11"/>
        </w:numPr>
        <w:tabs>
          <w:tab w:val="left" w:pos="993"/>
        </w:tabs>
        <w:spacing w:line="240" w:lineRule="auto"/>
        <w:ind w:left="567" w:hanging="283"/>
        <w:rPr>
          <w:rFonts w:ascii="Times New Roman" w:hAnsi="Times New Roman" w:cs="Times New Roman"/>
          <w:b/>
          <w:bCs/>
          <w:sz w:val="24"/>
          <w:szCs w:val="24"/>
          <w:lang w:val="tr-TR"/>
        </w:rPr>
      </w:pPr>
      <w:r w:rsidRPr="007D507F">
        <w:rPr>
          <w:rFonts w:ascii="Times New Roman" w:hAnsi="Times New Roman" w:cs="Times New Roman"/>
          <w:b/>
          <w:bCs/>
          <w:sz w:val="24"/>
          <w:szCs w:val="24"/>
          <w:lang w:val="tr-TR"/>
        </w:rPr>
        <w:t xml:space="preserve">Zorunlu </w:t>
      </w:r>
      <w:r w:rsidR="003700A5" w:rsidRPr="007D507F">
        <w:rPr>
          <w:rFonts w:ascii="Times New Roman" w:hAnsi="Times New Roman" w:cs="Times New Roman"/>
          <w:b/>
          <w:bCs/>
          <w:sz w:val="24"/>
          <w:szCs w:val="24"/>
          <w:lang w:val="tr-TR"/>
        </w:rPr>
        <w:t>Sağlık Sigortası Çe</w:t>
      </w:r>
      <w:r w:rsidR="003F6587">
        <w:rPr>
          <w:rFonts w:ascii="Times New Roman" w:hAnsi="Times New Roman" w:cs="Times New Roman"/>
          <w:b/>
          <w:bCs/>
          <w:sz w:val="24"/>
          <w:szCs w:val="24"/>
          <w:lang w:val="tr-TR"/>
        </w:rPr>
        <w:t xml:space="preserve">rçevesinde Sağlık Hizmetlerinin Mali Olarak </w:t>
      </w:r>
      <w:r w:rsidR="003700A5" w:rsidRPr="007D507F">
        <w:rPr>
          <w:rFonts w:ascii="Times New Roman" w:hAnsi="Times New Roman" w:cs="Times New Roman"/>
          <w:b/>
          <w:bCs/>
          <w:sz w:val="24"/>
          <w:szCs w:val="24"/>
          <w:lang w:val="tr-TR"/>
        </w:rPr>
        <w:t>Sağlanması</w:t>
      </w:r>
    </w:p>
    <w:p w14:paraId="2F342B48" w14:textId="37940EA6" w:rsidR="00F84B45" w:rsidRPr="007D507F" w:rsidRDefault="00276C2A" w:rsidP="005E4A12">
      <w:pPr>
        <w:tabs>
          <w:tab w:val="left" w:pos="1418"/>
        </w:tabs>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Başlangıçta, Kırgız Cumhuriyeti’</w:t>
      </w:r>
      <w:r w:rsidR="00F84B45" w:rsidRPr="007D507F">
        <w:rPr>
          <w:rFonts w:ascii="Times New Roman" w:hAnsi="Times New Roman" w:cs="Times New Roman"/>
          <w:color w:val="000000" w:themeColor="text1"/>
          <w:sz w:val="24"/>
          <w:szCs w:val="24"/>
          <w:lang w:val="tr-TR"/>
        </w:rPr>
        <w:t xml:space="preserve">nin zorunlu sağlık sigortası sistemi bir sigorta modeli </w:t>
      </w:r>
      <w:r w:rsidR="003700A5" w:rsidRPr="007D507F">
        <w:rPr>
          <w:rFonts w:ascii="Times New Roman" w:hAnsi="Times New Roman" w:cs="Times New Roman"/>
          <w:color w:val="000000" w:themeColor="text1"/>
          <w:sz w:val="24"/>
          <w:szCs w:val="24"/>
          <w:lang w:val="tr-TR"/>
        </w:rPr>
        <w:t>içermekte</w:t>
      </w:r>
      <w:r w:rsidR="00DE68B3" w:rsidRPr="007D507F">
        <w:rPr>
          <w:rFonts w:ascii="Times New Roman" w:hAnsi="Times New Roman" w:cs="Times New Roman"/>
          <w:color w:val="000000" w:themeColor="text1"/>
          <w:sz w:val="24"/>
          <w:szCs w:val="24"/>
          <w:lang w:val="tr-TR"/>
        </w:rPr>
        <w:t xml:space="preserve">ydi. </w:t>
      </w:r>
      <w:r w:rsidR="00F84B45" w:rsidRPr="007D507F">
        <w:rPr>
          <w:rFonts w:ascii="Times New Roman" w:hAnsi="Times New Roman" w:cs="Times New Roman"/>
          <w:color w:val="000000" w:themeColor="text1"/>
          <w:sz w:val="24"/>
          <w:szCs w:val="24"/>
          <w:lang w:val="tr-TR"/>
        </w:rPr>
        <w:t>Ancak uygulama sürecinde işlevsel değişiklikler meydana geldi: Sosyal Fon vergi makamlarından alınan fonların vergiler ve sigorta primleri şeklinde yeniden dağıtılmasına vurgu yapıl</w:t>
      </w:r>
      <w:r w:rsidR="003700A5" w:rsidRPr="007D507F">
        <w:rPr>
          <w:rFonts w:ascii="Times New Roman" w:hAnsi="Times New Roman" w:cs="Times New Roman"/>
          <w:color w:val="000000" w:themeColor="text1"/>
          <w:sz w:val="24"/>
          <w:szCs w:val="24"/>
          <w:lang w:val="tr-TR"/>
        </w:rPr>
        <w:t>mıştır</w:t>
      </w:r>
      <w:r w:rsidR="00F84B45" w:rsidRPr="007D507F">
        <w:rPr>
          <w:rFonts w:ascii="Times New Roman" w:hAnsi="Times New Roman" w:cs="Times New Roman"/>
          <w:color w:val="000000" w:themeColor="text1"/>
          <w:sz w:val="24"/>
          <w:szCs w:val="24"/>
          <w:lang w:val="tr-TR"/>
        </w:rPr>
        <w:t xml:space="preserve">. </w:t>
      </w:r>
      <w:r w:rsidR="003700A5" w:rsidRPr="007D507F">
        <w:rPr>
          <w:rFonts w:ascii="Times New Roman" w:hAnsi="Times New Roman" w:cs="Times New Roman"/>
          <w:color w:val="000000" w:themeColor="text1"/>
          <w:sz w:val="24"/>
          <w:szCs w:val="24"/>
          <w:lang w:val="tr-TR"/>
        </w:rPr>
        <w:t>Çalışmada bahsedilen dağıtımın</w:t>
      </w:r>
      <w:r w:rsidR="007C42A0" w:rsidRPr="007D507F">
        <w:rPr>
          <w:rFonts w:ascii="Times New Roman" w:hAnsi="Times New Roman" w:cs="Times New Roman"/>
          <w:color w:val="000000" w:themeColor="text1"/>
          <w:sz w:val="24"/>
          <w:szCs w:val="24"/>
          <w:lang w:val="tr-TR"/>
        </w:rPr>
        <w:t xml:space="preserve"> </w:t>
      </w:r>
      <w:r w:rsidR="00F84B45" w:rsidRPr="007D507F">
        <w:rPr>
          <w:rFonts w:ascii="Times New Roman" w:hAnsi="Times New Roman" w:cs="Times New Roman"/>
          <w:color w:val="000000" w:themeColor="text1"/>
          <w:sz w:val="24"/>
          <w:szCs w:val="24"/>
          <w:lang w:val="tr-TR"/>
        </w:rPr>
        <w:t xml:space="preserve">nesnel nedenleri </w:t>
      </w:r>
      <w:r w:rsidR="003700A5" w:rsidRPr="007D507F">
        <w:rPr>
          <w:rFonts w:ascii="Times New Roman" w:hAnsi="Times New Roman" w:cs="Times New Roman"/>
          <w:color w:val="000000" w:themeColor="text1"/>
          <w:sz w:val="24"/>
          <w:szCs w:val="24"/>
          <w:lang w:val="tr-TR"/>
        </w:rPr>
        <w:t>bulunmaktadır</w:t>
      </w:r>
      <w:r w:rsidR="00F84B45" w:rsidRPr="007D507F">
        <w:rPr>
          <w:rFonts w:ascii="Times New Roman" w:hAnsi="Times New Roman" w:cs="Times New Roman"/>
          <w:color w:val="000000" w:themeColor="text1"/>
          <w:sz w:val="24"/>
          <w:szCs w:val="24"/>
          <w:lang w:val="tr-TR"/>
        </w:rPr>
        <w:t>. Kırgız Cumhuriyeti zorunlu sağlık sigortası sistemi, sağlık hizmetleri tüketicisinin sigorta ilişkisine girmesine izin veren ekonomik nitelikte uygun şekiller ve mekanizmalar sağlamamaktadır. Ulusal zorunlu sağlık sigortası sistemine ilişkin daha derin bir çalışma, sigortalı bir olay ve risk gibi kavramlardan yoksun olduğunu ortaya çıkar</w:t>
      </w:r>
      <w:r w:rsidR="003700A5" w:rsidRPr="007D507F">
        <w:rPr>
          <w:rFonts w:ascii="Times New Roman" w:hAnsi="Times New Roman" w:cs="Times New Roman"/>
          <w:color w:val="000000" w:themeColor="text1"/>
          <w:sz w:val="24"/>
          <w:szCs w:val="24"/>
          <w:lang w:val="tr-TR"/>
        </w:rPr>
        <w:t>mıştır</w:t>
      </w:r>
      <w:r w:rsidR="00F84B45" w:rsidRPr="007D507F">
        <w:rPr>
          <w:rFonts w:ascii="Times New Roman" w:hAnsi="Times New Roman" w:cs="Times New Roman"/>
          <w:color w:val="000000" w:themeColor="text1"/>
          <w:sz w:val="24"/>
          <w:szCs w:val="24"/>
          <w:lang w:val="tr-TR"/>
        </w:rPr>
        <w:t>.</w:t>
      </w:r>
      <w:r w:rsidR="00DE68B3" w:rsidRPr="007D507F">
        <w:rPr>
          <w:rFonts w:ascii="Times New Roman" w:hAnsi="Times New Roman" w:cs="Times New Roman"/>
          <w:color w:val="000000" w:themeColor="text1"/>
          <w:sz w:val="24"/>
          <w:szCs w:val="24"/>
          <w:lang w:val="tr-TR"/>
        </w:rPr>
        <w:t xml:space="preserve"> </w:t>
      </w:r>
      <w:r w:rsidR="00F84B45" w:rsidRPr="007D507F">
        <w:rPr>
          <w:rFonts w:ascii="Times New Roman" w:hAnsi="Times New Roman" w:cs="Times New Roman"/>
          <w:color w:val="000000" w:themeColor="text1"/>
          <w:sz w:val="24"/>
          <w:szCs w:val="24"/>
          <w:lang w:val="tr-TR"/>
        </w:rPr>
        <w:t>Sigorta ilkeleri değil</w:t>
      </w:r>
      <w:r w:rsidR="00B34492" w:rsidRPr="007D507F">
        <w:rPr>
          <w:rFonts w:ascii="Times New Roman" w:hAnsi="Times New Roman" w:cs="Times New Roman"/>
          <w:color w:val="000000" w:themeColor="text1"/>
          <w:sz w:val="24"/>
          <w:szCs w:val="24"/>
          <w:lang w:val="tr-TR"/>
        </w:rPr>
        <w:t>,</w:t>
      </w:r>
      <w:r w:rsidR="00F84B45" w:rsidRPr="007D507F">
        <w:rPr>
          <w:rFonts w:ascii="Times New Roman" w:hAnsi="Times New Roman" w:cs="Times New Roman"/>
          <w:color w:val="000000" w:themeColor="text1"/>
          <w:sz w:val="24"/>
          <w:szCs w:val="24"/>
          <w:lang w:val="tr-TR"/>
        </w:rPr>
        <w:t xml:space="preserve"> nicelik faktörü ön plandadır. Bazı kay</w:t>
      </w:r>
      <w:r w:rsidR="00547ECD" w:rsidRPr="007D507F">
        <w:rPr>
          <w:rFonts w:ascii="Times New Roman" w:hAnsi="Times New Roman" w:cs="Times New Roman"/>
          <w:color w:val="000000" w:themeColor="text1"/>
          <w:sz w:val="24"/>
          <w:szCs w:val="24"/>
          <w:lang w:val="tr-TR"/>
        </w:rPr>
        <w:t>naklara dayanarak (</w:t>
      </w:r>
      <w:r w:rsidR="00023788" w:rsidRPr="007D507F">
        <w:rPr>
          <w:rFonts w:ascii="Times New Roman" w:hAnsi="Times New Roman" w:cs="Times New Roman"/>
          <w:color w:val="000000" w:themeColor="text1"/>
          <w:sz w:val="24"/>
          <w:szCs w:val="24"/>
          <w:lang w:val="tr-TR"/>
        </w:rPr>
        <w:t>Lomskaya</w:t>
      </w:r>
      <w:r w:rsidR="00547ECD" w:rsidRPr="007D507F">
        <w:rPr>
          <w:rFonts w:ascii="Times New Roman" w:hAnsi="Times New Roman" w:cs="Times New Roman"/>
          <w:color w:val="000000" w:themeColor="text1"/>
          <w:sz w:val="24"/>
          <w:szCs w:val="24"/>
          <w:lang w:val="tr-TR"/>
        </w:rPr>
        <w:t>,</w:t>
      </w:r>
      <w:r w:rsidR="00023788" w:rsidRPr="007D507F">
        <w:rPr>
          <w:rFonts w:ascii="Times New Roman" w:hAnsi="Times New Roman" w:cs="Times New Roman"/>
          <w:color w:val="000000" w:themeColor="text1"/>
          <w:sz w:val="24"/>
          <w:szCs w:val="24"/>
          <w:lang w:val="tr-TR"/>
        </w:rPr>
        <w:t xml:space="preserve"> </w:t>
      </w:r>
      <w:r w:rsidR="00F84B45" w:rsidRPr="007D507F">
        <w:rPr>
          <w:rFonts w:ascii="Times New Roman" w:hAnsi="Times New Roman" w:cs="Times New Roman"/>
          <w:color w:val="000000" w:themeColor="text1"/>
          <w:sz w:val="24"/>
          <w:szCs w:val="24"/>
          <w:lang w:val="tr-TR"/>
        </w:rPr>
        <w:t>2019), bu durumda hangi göstergelerin sunulduğunu şöyle ifade edebiliriz: Bireysel bir hizmetin maliyet özelliği, poliklinik ziyareti, yatak günleri olarak ifade edilebilir.</w:t>
      </w:r>
    </w:p>
    <w:p w14:paraId="7F6D35BB" w14:textId="0EA6B3EF" w:rsidR="00F84B45" w:rsidRPr="007D507F" w:rsidRDefault="00F84B45" w:rsidP="005E4A12">
      <w:pPr>
        <w:tabs>
          <w:tab w:val="left" w:pos="1418"/>
        </w:tabs>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Sigortalı hastalar arasında yapılan bir ankete göre, hastanede tedavi gören hastaların %63</w:t>
      </w:r>
      <w:r w:rsidR="00B34492" w:rsidRPr="007D507F">
        <w:rPr>
          <w:rFonts w:ascii="Times New Roman" w:hAnsi="Times New Roman" w:cs="Times New Roman"/>
          <w:color w:val="000000" w:themeColor="text1"/>
          <w:sz w:val="24"/>
          <w:szCs w:val="24"/>
          <w:lang w:val="tr-TR"/>
        </w:rPr>
        <w:t>’</w:t>
      </w:r>
      <w:r w:rsidRPr="007D507F">
        <w:rPr>
          <w:rFonts w:ascii="Times New Roman" w:hAnsi="Times New Roman" w:cs="Times New Roman"/>
          <w:color w:val="000000" w:themeColor="text1"/>
          <w:sz w:val="24"/>
          <w:szCs w:val="24"/>
          <w:lang w:val="tr-TR"/>
        </w:rPr>
        <w:t>ünün ücretsiz sağlık hizmetlerinin verildiği Devlet Garantileri ve Zorunlu Sağlık Sigortası Programı hakkında bilgisi olmadığı ortaya çıkm</w:t>
      </w:r>
      <w:r w:rsidR="00B34492" w:rsidRPr="007D507F">
        <w:rPr>
          <w:rFonts w:ascii="Times New Roman" w:hAnsi="Times New Roman" w:cs="Times New Roman"/>
          <w:color w:val="000000" w:themeColor="text1"/>
          <w:sz w:val="24"/>
          <w:szCs w:val="24"/>
          <w:lang w:val="tr-TR"/>
        </w:rPr>
        <w:t>ı</w:t>
      </w:r>
      <w:r w:rsidRPr="007D507F">
        <w:rPr>
          <w:rFonts w:ascii="Times New Roman" w:hAnsi="Times New Roman" w:cs="Times New Roman"/>
          <w:color w:val="000000" w:themeColor="text1"/>
          <w:sz w:val="24"/>
          <w:szCs w:val="24"/>
          <w:lang w:val="tr-TR"/>
        </w:rPr>
        <w:t xml:space="preserve">ştır. </w:t>
      </w:r>
      <w:r w:rsidR="003700A5" w:rsidRPr="007D507F">
        <w:rPr>
          <w:rFonts w:ascii="Times New Roman" w:hAnsi="Times New Roman" w:cs="Times New Roman"/>
          <w:color w:val="000000" w:themeColor="text1"/>
          <w:sz w:val="24"/>
          <w:szCs w:val="24"/>
          <w:lang w:val="tr-TR"/>
        </w:rPr>
        <w:t>Bu kapsamda,</w:t>
      </w:r>
      <w:r w:rsidRPr="007D507F">
        <w:rPr>
          <w:rFonts w:ascii="Times New Roman" w:hAnsi="Times New Roman" w:cs="Times New Roman"/>
          <w:color w:val="000000" w:themeColor="text1"/>
          <w:sz w:val="24"/>
          <w:szCs w:val="24"/>
          <w:lang w:val="tr-TR"/>
        </w:rPr>
        <w:t xml:space="preserve"> hastaların kendileri, hak ettikleri ücretsiz tıbbi bakım</w:t>
      </w:r>
      <w:r w:rsidR="004E2F84" w:rsidRPr="007D507F">
        <w:rPr>
          <w:rFonts w:ascii="Times New Roman" w:hAnsi="Times New Roman" w:cs="Times New Roman"/>
          <w:color w:val="000000" w:themeColor="text1"/>
          <w:sz w:val="24"/>
          <w:szCs w:val="24"/>
          <w:lang w:val="tr-TR"/>
        </w:rPr>
        <w:t xml:space="preserve">ın yanı sıra, ilgili personelle </w:t>
      </w:r>
      <w:r w:rsidR="00B34492" w:rsidRPr="007D507F">
        <w:rPr>
          <w:rFonts w:ascii="Times New Roman" w:hAnsi="Times New Roman" w:cs="Times New Roman"/>
          <w:color w:val="000000" w:themeColor="text1"/>
          <w:sz w:val="24"/>
          <w:szCs w:val="24"/>
          <w:lang w:val="tr-TR"/>
        </w:rPr>
        <w:t xml:space="preserve">sistem dışı </w:t>
      </w:r>
      <w:r w:rsidRPr="007D507F">
        <w:rPr>
          <w:rFonts w:ascii="Times New Roman" w:hAnsi="Times New Roman" w:cs="Times New Roman"/>
          <w:color w:val="000000" w:themeColor="text1"/>
          <w:sz w:val="24"/>
          <w:szCs w:val="24"/>
          <w:lang w:val="tr-TR"/>
        </w:rPr>
        <w:t>ilişkilere girmektedirler. Yani sağlanan hizmetler için resm</w:t>
      </w:r>
      <w:r w:rsidR="00B34492" w:rsidRPr="007D507F">
        <w:rPr>
          <w:rFonts w:ascii="Times New Roman" w:hAnsi="Times New Roman" w:cs="Times New Roman"/>
          <w:color w:val="000000" w:themeColor="text1"/>
          <w:sz w:val="24"/>
          <w:szCs w:val="24"/>
          <w:lang w:val="tr-TR"/>
        </w:rPr>
        <w:t>i olmayan bir ücret öde</w:t>
      </w:r>
      <w:r w:rsidR="003700A5" w:rsidRPr="007D507F">
        <w:rPr>
          <w:rFonts w:ascii="Times New Roman" w:hAnsi="Times New Roman" w:cs="Times New Roman"/>
          <w:color w:val="000000" w:themeColor="text1"/>
          <w:sz w:val="24"/>
          <w:szCs w:val="24"/>
          <w:lang w:val="tr-TR"/>
        </w:rPr>
        <w:t>mektedirler</w:t>
      </w:r>
      <w:r w:rsidR="00B34492" w:rsidRPr="007D507F">
        <w:rPr>
          <w:rFonts w:ascii="Times New Roman" w:hAnsi="Times New Roman" w:cs="Times New Roman"/>
          <w:color w:val="000000" w:themeColor="text1"/>
          <w:sz w:val="24"/>
          <w:szCs w:val="24"/>
          <w:lang w:val="tr-TR"/>
        </w:rPr>
        <w:t xml:space="preserve"> (</w:t>
      </w:r>
      <w:r w:rsidR="004E2F84" w:rsidRPr="007D507F">
        <w:rPr>
          <w:rFonts w:ascii="Times New Roman" w:hAnsi="Times New Roman" w:cs="Times New Roman"/>
          <w:sz w:val="24"/>
          <w:szCs w:val="24"/>
          <w:lang w:val="tr-TR"/>
        </w:rPr>
        <w:t>Dj</w:t>
      </w:r>
      <w:r w:rsidRPr="007D507F">
        <w:rPr>
          <w:rFonts w:ascii="Times New Roman" w:hAnsi="Times New Roman" w:cs="Times New Roman"/>
          <w:color w:val="000000" w:themeColor="text1"/>
          <w:sz w:val="24"/>
          <w:szCs w:val="24"/>
          <w:lang w:val="tr-TR"/>
        </w:rPr>
        <w:t>aparova, 2014).</w:t>
      </w:r>
    </w:p>
    <w:p w14:paraId="1BB33934" w14:textId="77777777" w:rsidR="007101D2" w:rsidRPr="007D507F" w:rsidRDefault="004E2F84" w:rsidP="005E4A12">
      <w:pPr>
        <w:tabs>
          <w:tab w:val="left" w:pos="1418"/>
        </w:tabs>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Tek Ödeme Sisteminin</w:t>
      </w:r>
      <w:r w:rsidR="00F84B45" w:rsidRPr="007D507F">
        <w:rPr>
          <w:rFonts w:ascii="Times New Roman" w:hAnsi="Times New Roman" w:cs="Times New Roman"/>
          <w:color w:val="000000" w:themeColor="text1"/>
          <w:sz w:val="24"/>
          <w:szCs w:val="24"/>
          <w:lang w:val="tr-TR"/>
        </w:rPr>
        <w:t xml:space="preserve"> (zorunlu sağlık sigortası sisteminden alınan fonlar) gelir dinamiklerine ilişkin istatistiksel verilerin incelenmesi, 2009-2019 dönemi için bakıldığında, Kırgız Cumhuriyeti sağlık sisteminin toplam harcamalarındaki</w:t>
      </w:r>
      <w:r w:rsidR="00B34492" w:rsidRPr="007D507F">
        <w:rPr>
          <w:rFonts w:ascii="Times New Roman" w:hAnsi="Times New Roman" w:cs="Times New Roman"/>
          <w:color w:val="000000" w:themeColor="text1"/>
          <w:sz w:val="24"/>
          <w:szCs w:val="24"/>
          <w:lang w:val="tr-TR"/>
        </w:rPr>
        <w:t xml:space="preserve"> paylarında (%</w:t>
      </w:r>
      <w:r w:rsidR="002A77F4" w:rsidRPr="007D507F">
        <w:rPr>
          <w:rFonts w:ascii="Times New Roman" w:hAnsi="Times New Roman" w:cs="Times New Roman"/>
          <w:color w:val="000000" w:themeColor="text1"/>
          <w:sz w:val="24"/>
          <w:szCs w:val="24"/>
          <w:lang w:val="tr-TR"/>
        </w:rPr>
        <w:t xml:space="preserve">1,1 </w:t>
      </w:r>
      <w:r w:rsidR="00F84B45" w:rsidRPr="007D507F">
        <w:rPr>
          <w:rFonts w:ascii="Times New Roman" w:hAnsi="Times New Roman" w:cs="Times New Roman"/>
          <w:color w:val="000000" w:themeColor="text1"/>
          <w:sz w:val="24"/>
          <w:szCs w:val="24"/>
          <w:lang w:val="tr-TR"/>
        </w:rPr>
        <w:t>oranında) bir azalma olduğu görülmektedir.</w:t>
      </w:r>
    </w:p>
    <w:p w14:paraId="45A63384" w14:textId="33CD4272" w:rsidR="0008441C" w:rsidRPr="007D507F" w:rsidRDefault="0008441C" w:rsidP="005E4A12">
      <w:pPr>
        <w:tabs>
          <w:tab w:val="left" w:pos="1418"/>
        </w:tabs>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2016’dan 2019’a kadar olan dönemde, ülkenin sigortalı vatandaşlarının payının sırasıyla %76’dan %69’a nasıl düştüğü gör</w:t>
      </w:r>
      <w:r w:rsidR="00AC7FB3" w:rsidRPr="007D507F">
        <w:rPr>
          <w:rFonts w:ascii="Times New Roman" w:hAnsi="Times New Roman" w:cs="Times New Roman"/>
          <w:sz w:val="24"/>
          <w:szCs w:val="24"/>
          <w:lang w:val="tr-TR"/>
        </w:rPr>
        <w:t>ülebilir</w:t>
      </w:r>
      <w:r w:rsidRPr="007D507F">
        <w:rPr>
          <w:rFonts w:ascii="Times New Roman" w:hAnsi="Times New Roman" w:cs="Times New Roman"/>
          <w:sz w:val="24"/>
          <w:szCs w:val="24"/>
          <w:lang w:val="tr-TR"/>
        </w:rPr>
        <w:t>. Bunun nedenlerinden biri, iş ve daha yüksek kazanç arayışıyla yurt dışına giden çalışabilen vatandaşlar arasından göçmen sayısındaki artıştır.</w:t>
      </w:r>
    </w:p>
    <w:p w14:paraId="14132E91" w14:textId="77777777" w:rsidR="0008441C" w:rsidRPr="007D507F" w:rsidRDefault="0008441C" w:rsidP="007D507F">
      <w:pPr>
        <w:tabs>
          <w:tab w:val="left" w:pos="1418"/>
        </w:tabs>
        <w:spacing w:before="120" w:after="0" w:line="240" w:lineRule="auto"/>
        <w:ind w:firstLine="426"/>
        <w:jc w:val="both"/>
        <w:rPr>
          <w:rFonts w:ascii="Times New Roman" w:hAnsi="Times New Roman" w:cs="Times New Roman"/>
          <w:sz w:val="24"/>
          <w:szCs w:val="24"/>
          <w:lang w:val="tr-TR"/>
        </w:rPr>
      </w:pPr>
      <w:r w:rsidRPr="007D507F">
        <w:rPr>
          <w:rFonts w:ascii="Times New Roman" w:hAnsi="Times New Roman" w:cs="Times New Roman"/>
          <w:b/>
          <w:sz w:val="24"/>
          <w:szCs w:val="24"/>
          <w:lang w:val="tr-TR"/>
        </w:rPr>
        <w:t>Tablo 3.</w:t>
      </w:r>
      <w:r w:rsidRPr="007D507F">
        <w:rPr>
          <w:rFonts w:ascii="Times New Roman" w:hAnsi="Times New Roman" w:cs="Times New Roman"/>
          <w:sz w:val="24"/>
          <w:szCs w:val="24"/>
          <w:lang w:val="tr-TR"/>
        </w:rPr>
        <w:t xml:space="preserve"> 2012-2019 yılları arasında Kırgız Cumhuriyeti’ndeki sigortalı vatandaşların yapısı ve dinamikleri </w:t>
      </w:r>
    </w:p>
    <w:tbl>
      <w:tblPr>
        <w:tblStyle w:val="ae"/>
        <w:tblW w:w="5000" w:type="pct"/>
        <w:shd w:val="clear" w:color="auto" w:fill="FFFFFF" w:themeFill="background1"/>
        <w:tblLook w:val="04A0" w:firstRow="1" w:lastRow="0" w:firstColumn="1" w:lastColumn="0" w:noHBand="0" w:noVBand="1"/>
      </w:tblPr>
      <w:tblGrid>
        <w:gridCol w:w="2205"/>
        <w:gridCol w:w="969"/>
        <w:gridCol w:w="821"/>
        <w:gridCol w:w="1034"/>
        <w:gridCol w:w="716"/>
        <w:gridCol w:w="1060"/>
        <w:gridCol w:w="781"/>
        <w:gridCol w:w="1034"/>
        <w:gridCol w:w="951"/>
      </w:tblGrid>
      <w:tr w:rsidR="0008441C" w:rsidRPr="0014147B" w14:paraId="2D8BBFF7" w14:textId="77777777" w:rsidTr="000C60C3">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52" w:type="pct"/>
            <w:vMerge w:val="restart"/>
            <w:shd w:val="clear" w:color="auto" w:fill="FFFFFF" w:themeFill="background1"/>
            <w:hideMark/>
          </w:tcPr>
          <w:p w14:paraId="3EEE1B76" w14:textId="77777777" w:rsidR="0008441C" w:rsidRPr="00DA69EF" w:rsidRDefault="0008441C" w:rsidP="000C60C3">
            <w:pPr>
              <w:rPr>
                <w:rFonts w:ascii="Times New Roman" w:eastAsia="Times New Roman" w:hAnsi="Times New Roman" w:cs="Times New Roman"/>
                <w:color w:val="auto"/>
                <w:shd w:val="clear" w:color="auto" w:fill="FFFFFF"/>
                <w:lang w:eastAsia="ru-RU"/>
              </w:rPr>
            </w:pPr>
            <w:r w:rsidRPr="00DA69EF">
              <w:rPr>
                <w:rFonts w:ascii="Times New Roman" w:eastAsia="Times New Roman" w:hAnsi="Times New Roman" w:cs="Times New Roman"/>
                <w:bCs w:val="0"/>
                <w:color w:val="auto"/>
                <w:shd w:val="clear" w:color="auto" w:fill="FFFFFF"/>
                <w:lang w:val="en-US" w:eastAsia="ru-RU"/>
              </w:rPr>
              <w:t>Vatandaş kategorileri</w:t>
            </w:r>
          </w:p>
        </w:tc>
        <w:tc>
          <w:tcPr>
            <w:tcW w:w="935" w:type="pct"/>
            <w:gridSpan w:val="2"/>
            <w:shd w:val="clear" w:color="auto" w:fill="FFFFFF" w:themeFill="background1"/>
            <w:hideMark/>
          </w:tcPr>
          <w:p w14:paraId="4FA04CD7" w14:textId="77777777" w:rsidR="0008441C" w:rsidRPr="00DA69EF" w:rsidRDefault="0008441C" w:rsidP="000C60C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DA69EF">
              <w:rPr>
                <w:rFonts w:ascii="Times New Roman" w:eastAsia="Times New Roman" w:hAnsi="Times New Roman" w:cs="Times New Roman"/>
                <w:bCs w:val="0"/>
                <w:color w:val="auto"/>
                <w:shd w:val="clear" w:color="auto" w:fill="FFFFFF"/>
                <w:lang w:val="tr-TR" w:eastAsia="ru-RU"/>
              </w:rPr>
              <w:t>2012</w:t>
            </w:r>
          </w:p>
        </w:tc>
        <w:tc>
          <w:tcPr>
            <w:tcW w:w="914" w:type="pct"/>
            <w:gridSpan w:val="2"/>
            <w:shd w:val="clear" w:color="auto" w:fill="FFFFFF" w:themeFill="background1"/>
            <w:hideMark/>
          </w:tcPr>
          <w:p w14:paraId="53B0BF2D" w14:textId="77777777" w:rsidR="0008441C" w:rsidRPr="00DA69EF" w:rsidRDefault="0008441C" w:rsidP="000C60C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DA69EF">
              <w:rPr>
                <w:rFonts w:ascii="Times New Roman" w:eastAsia="Times New Roman" w:hAnsi="Times New Roman" w:cs="Times New Roman"/>
                <w:bCs w:val="0"/>
                <w:color w:val="auto"/>
                <w:shd w:val="clear" w:color="auto" w:fill="FFFFFF"/>
                <w:lang w:val="tr-TR" w:eastAsia="ru-RU"/>
              </w:rPr>
              <w:t>2013</w:t>
            </w:r>
          </w:p>
        </w:tc>
        <w:tc>
          <w:tcPr>
            <w:tcW w:w="962" w:type="pct"/>
            <w:gridSpan w:val="2"/>
            <w:shd w:val="clear" w:color="auto" w:fill="FFFFFF" w:themeFill="background1"/>
            <w:hideMark/>
          </w:tcPr>
          <w:p w14:paraId="3EA310D7" w14:textId="77777777" w:rsidR="0008441C" w:rsidRPr="00DA69EF" w:rsidRDefault="0008441C" w:rsidP="000C60C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DA69EF">
              <w:rPr>
                <w:rFonts w:ascii="Times New Roman" w:eastAsia="Times New Roman" w:hAnsi="Times New Roman" w:cs="Times New Roman"/>
                <w:bCs w:val="0"/>
                <w:color w:val="auto"/>
                <w:shd w:val="clear" w:color="auto" w:fill="FFFFFF"/>
                <w:lang w:val="tr-TR" w:eastAsia="ru-RU"/>
              </w:rPr>
              <w:t>2015</w:t>
            </w:r>
          </w:p>
        </w:tc>
        <w:tc>
          <w:tcPr>
            <w:tcW w:w="1037" w:type="pct"/>
            <w:gridSpan w:val="2"/>
            <w:shd w:val="clear" w:color="auto" w:fill="FFFFFF" w:themeFill="background1"/>
            <w:hideMark/>
          </w:tcPr>
          <w:p w14:paraId="10C9ECBD" w14:textId="77777777" w:rsidR="0008441C" w:rsidRPr="00DA69EF" w:rsidRDefault="0008441C" w:rsidP="000C60C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DA69EF">
              <w:rPr>
                <w:rFonts w:ascii="Times New Roman" w:eastAsia="Times New Roman" w:hAnsi="Times New Roman" w:cs="Times New Roman"/>
                <w:bCs w:val="0"/>
                <w:color w:val="auto"/>
                <w:shd w:val="clear" w:color="auto" w:fill="FFFFFF"/>
                <w:lang w:val="tr-TR" w:eastAsia="ru-RU"/>
              </w:rPr>
              <w:t>2019</w:t>
            </w:r>
          </w:p>
        </w:tc>
      </w:tr>
      <w:tr w:rsidR="0008441C" w:rsidRPr="0014147B" w14:paraId="7B7A790D" w14:textId="77777777" w:rsidTr="000C60C3">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52" w:type="pct"/>
            <w:vMerge/>
            <w:tcBorders>
              <w:bottom w:val="single" w:sz="4" w:space="0" w:color="auto"/>
            </w:tcBorders>
            <w:shd w:val="clear" w:color="auto" w:fill="FFFFFF" w:themeFill="background1"/>
            <w:hideMark/>
          </w:tcPr>
          <w:p w14:paraId="65502E23" w14:textId="77777777" w:rsidR="0008441C" w:rsidRPr="0014147B" w:rsidRDefault="0008441C" w:rsidP="000C60C3">
            <w:pPr>
              <w:rPr>
                <w:rFonts w:ascii="Times New Roman" w:eastAsia="Times New Roman" w:hAnsi="Times New Roman" w:cs="Times New Roman"/>
                <w:b w:val="0"/>
                <w:color w:val="auto"/>
                <w:shd w:val="clear" w:color="auto" w:fill="FFFFFF"/>
                <w:lang w:eastAsia="ru-RU"/>
              </w:rPr>
            </w:pPr>
          </w:p>
        </w:tc>
        <w:tc>
          <w:tcPr>
            <w:tcW w:w="506" w:type="pct"/>
            <w:tcBorders>
              <w:bottom w:val="single" w:sz="4" w:space="0" w:color="auto"/>
            </w:tcBorders>
            <w:shd w:val="clear" w:color="auto" w:fill="FFFFFF" w:themeFill="background1"/>
            <w:textDirection w:val="btLr"/>
            <w:vAlign w:val="center"/>
            <w:hideMark/>
          </w:tcPr>
          <w:p w14:paraId="5006D286"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hd w:val="clear" w:color="auto" w:fill="FFFFFF"/>
                <w:lang w:eastAsia="ru-RU"/>
              </w:rPr>
            </w:pPr>
            <w:r w:rsidRPr="0014147B">
              <w:rPr>
                <w:rFonts w:ascii="Times New Roman" w:eastAsia="Times New Roman" w:hAnsi="Times New Roman" w:cs="Times New Roman"/>
                <w:b/>
                <w:color w:val="auto"/>
                <w:shd w:val="clear" w:color="auto" w:fill="FFFFFF"/>
                <w:lang w:val="tr-TR" w:eastAsia="ru-RU"/>
              </w:rPr>
              <w:t>bin insan sayısı</w:t>
            </w:r>
          </w:p>
        </w:tc>
        <w:tc>
          <w:tcPr>
            <w:tcW w:w="429" w:type="pct"/>
            <w:tcBorders>
              <w:bottom w:val="single" w:sz="4" w:space="0" w:color="auto"/>
            </w:tcBorders>
            <w:shd w:val="clear" w:color="auto" w:fill="FFFFFF" w:themeFill="background1"/>
            <w:vAlign w:val="center"/>
            <w:hideMark/>
          </w:tcPr>
          <w:p w14:paraId="30C74868"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hd w:val="clear" w:color="auto" w:fill="FFFFFF"/>
                <w:lang w:eastAsia="ru-RU"/>
              </w:rPr>
            </w:pPr>
            <w:r w:rsidRPr="0014147B">
              <w:rPr>
                <w:rFonts w:ascii="Times New Roman" w:eastAsia="Times New Roman" w:hAnsi="Times New Roman" w:cs="Times New Roman"/>
                <w:b/>
                <w:color w:val="auto"/>
                <w:shd w:val="clear" w:color="auto" w:fill="FFFFFF"/>
                <w:lang w:val="tr-TR" w:eastAsia="ru-RU"/>
              </w:rPr>
              <w:t>%</w:t>
            </w:r>
          </w:p>
        </w:tc>
        <w:tc>
          <w:tcPr>
            <w:tcW w:w="540" w:type="pct"/>
            <w:tcBorders>
              <w:bottom w:val="single" w:sz="4" w:space="0" w:color="auto"/>
            </w:tcBorders>
            <w:shd w:val="clear" w:color="auto" w:fill="FFFFFF" w:themeFill="background1"/>
            <w:textDirection w:val="btLr"/>
            <w:vAlign w:val="center"/>
            <w:hideMark/>
          </w:tcPr>
          <w:p w14:paraId="68317C92"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hd w:val="clear" w:color="auto" w:fill="FFFFFF"/>
                <w:lang w:eastAsia="ru-RU"/>
              </w:rPr>
            </w:pPr>
            <w:r w:rsidRPr="0014147B">
              <w:rPr>
                <w:rFonts w:ascii="Times New Roman" w:eastAsia="Times New Roman" w:hAnsi="Times New Roman" w:cs="Times New Roman"/>
                <w:b/>
                <w:color w:val="auto"/>
                <w:shd w:val="clear" w:color="auto" w:fill="FFFFFF"/>
                <w:lang w:val="tr-TR" w:eastAsia="ru-RU"/>
              </w:rPr>
              <w:t>bin insan sayıs</w:t>
            </w:r>
            <w:r w:rsidRPr="0014147B">
              <w:rPr>
                <w:rFonts w:ascii="Times New Roman" w:eastAsia="Times New Roman" w:hAnsi="Times New Roman" w:cs="Times New Roman"/>
                <w:b/>
                <w:color w:val="auto"/>
                <w:shd w:val="clear" w:color="auto" w:fill="FFFFFF"/>
                <w:lang w:eastAsia="ru-RU"/>
              </w:rPr>
              <w:t>.</w:t>
            </w:r>
          </w:p>
        </w:tc>
        <w:tc>
          <w:tcPr>
            <w:tcW w:w="374" w:type="pct"/>
            <w:tcBorders>
              <w:bottom w:val="single" w:sz="4" w:space="0" w:color="auto"/>
            </w:tcBorders>
            <w:shd w:val="clear" w:color="auto" w:fill="FFFFFF" w:themeFill="background1"/>
            <w:vAlign w:val="center"/>
            <w:hideMark/>
          </w:tcPr>
          <w:p w14:paraId="4D84CF1F"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hd w:val="clear" w:color="auto" w:fill="FFFFFF"/>
                <w:lang w:eastAsia="ru-RU"/>
              </w:rPr>
            </w:pPr>
            <w:r w:rsidRPr="0014147B">
              <w:rPr>
                <w:rFonts w:ascii="Times New Roman" w:eastAsia="Times New Roman" w:hAnsi="Times New Roman" w:cs="Times New Roman"/>
                <w:b/>
                <w:color w:val="auto"/>
                <w:shd w:val="clear" w:color="auto" w:fill="FFFFFF"/>
                <w:lang w:val="tr-TR" w:eastAsia="ru-RU"/>
              </w:rPr>
              <w:t>%</w:t>
            </w:r>
          </w:p>
        </w:tc>
        <w:tc>
          <w:tcPr>
            <w:tcW w:w="554" w:type="pct"/>
            <w:tcBorders>
              <w:bottom w:val="single" w:sz="4" w:space="0" w:color="auto"/>
            </w:tcBorders>
            <w:shd w:val="clear" w:color="auto" w:fill="FFFFFF" w:themeFill="background1"/>
            <w:textDirection w:val="btLr"/>
            <w:vAlign w:val="center"/>
            <w:hideMark/>
          </w:tcPr>
          <w:p w14:paraId="7B0AA92E"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hd w:val="clear" w:color="auto" w:fill="FFFFFF"/>
                <w:lang w:eastAsia="ru-RU"/>
              </w:rPr>
            </w:pPr>
            <w:r w:rsidRPr="0014147B">
              <w:rPr>
                <w:rFonts w:ascii="Times New Roman" w:eastAsia="Times New Roman" w:hAnsi="Times New Roman" w:cs="Times New Roman"/>
                <w:b/>
                <w:color w:val="auto"/>
                <w:shd w:val="clear" w:color="auto" w:fill="FFFFFF"/>
                <w:lang w:val="tr-TR" w:eastAsia="ru-RU"/>
              </w:rPr>
              <w:t>bin insan sayıs</w:t>
            </w:r>
          </w:p>
        </w:tc>
        <w:tc>
          <w:tcPr>
            <w:tcW w:w="408" w:type="pct"/>
            <w:tcBorders>
              <w:bottom w:val="single" w:sz="4" w:space="0" w:color="auto"/>
            </w:tcBorders>
            <w:shd w:val="clear" w:color="auto" w:fill="FFFFFF" w:themeFill="background1"/>
            <w:vAlign w:val="center"/>
            <w:hideMark/>
          </w:tcPr>
          <w:p w14:paraId="63095081"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hd w:val="clear" w:color="auto" w:fill="FFFFFF"/>
                <w:lang w:eastAsia="ru-RU"/>
              </w:rPr>
            </w:pPr>
            <w:r w:rsidRPr="0014147B">
              <w:rPr>
                <w:rFonts w:ascii="Times New Roman" w:eastAsia="Times New Roman" w:hAnsi="Times New Roman" w:cs="Times New Roman"/>
                <w:b/>
                <w:color w:val="auto"/>
                <w:shd w:val="clear" w:color="auto" w:fill="FFFFFF"/>
                <w:lang w:val="tr-TR" w:eastAsia="ru-RU"/>
              </w:rPr>
              <w:t>%</w:t>
            </w:r>
          </w:p>
        </w:tc>
        <w:tc>
          <w:tcPr>
            <w:tcW w:w="540" w:type="pct"/>
            <w:tcBorders>
              <w:bottom w:val="single" w:sz="4" w:space="0" w:color="auto"/>
            </w:tcBorders>
            <w:shd w:val="clear" w:color="auto" w:fill="FFFFFF" w:themeFill="background1"/>
            <w:textDirection w:val="btLr"/>
            <w:vAlign w:val="center"/>
            <w:hideMark/>
          </w:tcPr>
          <w:p w14:paraId="77625C5F"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hd w:val="clear" w:color="auto" w:fill="FFFFFF"/>
                <w:lang w:eastAsia="ru-RU"/>
              </w:rPr>
            </w:pPr>
            <w:r w:rsidRPr="0014147B">
              <w:rPr>
                <w:rFonts w:ascii="Times New Roman" w:eastAsia="Times New Roman" w:hAnsi="Times New Roman" w:cs="Times New Roman"/>
                <w:b/>
                <w:color w:val="auto"/>
                <w:shd w:val="clear" w:color="auto" w:fill="FFFFFF"/>
                <w:lang w:val="tr-TR" w:eastAsia="ru-RU"/>
              </w:rPr>
              <w:t>bin insan sayıs</w:t>
            </w:r>
          </w:p>
        </w:tc>
        <w:tc>
          <w:tcPr>
            <w:tcW w:w="497" w:type="pct"/>
            <w:tcBorders>
              <w:bottom w:val="single" w:sz="4" w:space="0" w:color="auto"/>
            </w:tcBorders>
            <w:shd w:val="clear" w:color="auto" w:fill="FFFFFF" w:themeFill="background1"/>
            <w:vAlign w:val="center"/>
            <w:hideMark/>
          </w:tcPr>
          <w:p w14:paraId="137E9DDA"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hd w:val="clear" w:color="auto" w:fill="FFFFFF"/>
                <w:lang w:eastAsia="ru-RU"/>
              </w:rPr>
            </w:pPr>
            <w:r w:rsidRPr="0014147B">
              <w:rPr>
                <w:rFonts w:ascii="Times New Roman" w:eastAsia="Times New Roman" w:hAnsi="Times New Roman" w:cs="Times New Roman"/>
                <w:b/>
                <w:color w:val="auto"/>
                <w:shd w:val="clear" w:color="auto" w:fill="FFFFFF"/>
                <w:lang w:val="tr-TR" w:eastAsia="ru-RU"/>
              </w:rPr>
              <w:t>%</w:t>
            </w:r>
          </w:p>
        </w:tc>
      </w:tr>
      <w:tr w:rsidR="0008441C" w:rsidRPr="0014147B" w14:paraId="6BA28967" w14:textId="77777777" w:rsidTr="000C60C3">
        <w:trPr>
          <w:trHeight w:val="394"/>
        </w:trPr>
        <w:tc>
          <w:tcPr>
            <w:cnfStyle w:val="001000000000" w:firstRow="0" w:lastRow="0" w:firstColumn="1" w:lastColumn="0" w:oddVBand="0" w:evenVBand="0" w:oddHBand="0" w:evenHBand="0" w:firstRowFirstColumn="0" w:firstRowLastColumn="0" w:lastRowFirstColumn="0" w:lastRowLastColumn="0"/>
            <w:tcW w:w="1152" w:type="pct"/>
            <w:tcBorders>
              <w:top w:val="single" w:sz="4" w:space="0" w:color="auto"/>
            </w:tcBorders>
            <w:shd w:val="clear" w:color="auto" w:fill="FFFFFF" w:themeFill="background1"/>
            <w:hideMark/>
          </w:tcPr>
          <w:p w14:paraId="2482E528" w14:textId="77777777" w:rsidR="0008441C" w:rsidRPr="00875153" w:rsidRDefault="0008441C" w:rsidP="000C60C3">
            <w:pPr>
              <w:spacing w:before="120" w:line="276" w:lineRule="auto"/>
              <w:rPr>
                <w:rFonts w:ascii="Times New Roman" w:eastAsia="Times New Roman" w:hAnsi="Times New Roman" w:cs="Times New Roman"/>
                <w:b w:val="0"/>
                <w:color w:val="auto"/>
                <w:shd w:val="clear" w:color="auto" w:fill="FFFFFF"/>
                <w:lang w:eastAsia="ru-RU"/>
              </w:rPr>
            </w:pPr>
            <w:r w:rsidRPr="00875153">
              <w:rPr>
                <w:rFonts w:ascii="Times New Roman" w:eastAsia="Times New Roman" w:hAnsi="Times New Roman" w:cs="Times New Roman"/>
                <w:b w:val="0"/>
                <w:bCs w:val="0"/>
                <w:color w:val="auto"/>
                <w:shd w:val="clear" w:color="auto" w:fill="FFFFFF"/>
                <w:lang w:val="tr-TR" w:eastAsia="ru-RU"/>
              </w:rPr>
              <w:lastRenderedPageBreak/>
              <w:t>Çalışan</w:t>
            </w:r>
          </w:p>
        </w:tc>
        <w:tc>
          <w:tcPr>
            <w:tcW w:w="506" w:type="pct"/>
            <w:tcBorders>
              <w:top w:val="single" w:sz="4" w:space="0" w:color="auto"/>
            </w:tcBorders>
            <w:shd w:val="clear" w:color="auto" w:fill="FFFFFF" w:themeFill="background1"/>
            <w:hideMark/>
          </w:tcPr>
          <w:p w14:paraId="4C9DE5B4" w14:textId="77777777" w:rsidR="0008441C" w:rsidRPr="0014147B" w:rsidRDefault="0008441C" w:rsidP="000C60C3">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1146,3</w:t>
            </w:r>
          </w:p>
        </w:tc>
        <w:tc>
          <w:tcPr>
            <w:tcW w:w="429" w:type="pct"/>
            <w:tcBorders>
              <w:top w:val="single" w:sz="4" w:space="0" w:color="auto"/>
            </w:tcBorders>
            <w:shd w:val="clear" w:color="auto" w:fill="FFFFFF" w:themeFill="background1"/>
            <w:hideMark/>
          </w:tcPr>
          <w:p w14:paraId="608210BE" w14:textId="77777777" w:rsidR="0008441C" w:rsidRPr="0014147B" w:rsidRDefault="0008441C" w:rsidP="000C60C3">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27,7</w:t>
            </w:r>
          </w:p>
        </w:tc>
        <w:tc>
          <w:tcPr>
            <w:tcW w:w="540" w:type="pct"/>
            <w:tcBorders>
              <w:top w:val="single" w:sz="4" w:space="0" w:color="auto"/>
            </w:tcBorders>
            <w:shd w:val="clear" w:color="auto" w:fill="FFFFFF" w:themeFill="background1"/>
            <w:hideMark/>
          </w:tcPr>
          <w:p w14:paraId="78C92781" w14:textId="77777777" w:rsidR="0008441C" w:rsidRPr="0014147B" w:rsidRDefault="0008441C" w:rsidP="000C60C3">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806,6</w:t>
            </w:r>
          </w:p>
        </w:tc>
        <w:tc>
          <w:tcPr>
            <w:tcW w:w="374" w:type="pct"/>
            <w:tcBorders>
              <w:top w:val="single" w:sz="4" w:space="0" w:color="auto"/>
            </w:tcBorders>
            <w:shd w:val="clear" w:color="auto" w:fill="FFFFFF" w:themeFill="background1"/>
            <w:hideMark/>
          </w:tcPr>
          <w:p w14:paraId="57FD81F0" w14:textId="77777777" w:rsidR="0008441C" w:rsidRPr="0014147B" w:rsidRDefault="0008441C" w:rsidP="000C60C3">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20,1</w:t>
            </w:r>
          </w:p>
        </w:tc>
        <w:tc>
          <w:tcPr>
            <w:tcW w:w="554" w:type="pct"/>
            <w:tcBorders>
              <w:top w:val="single" w:sz="4" w:space="0" w:color="auto"/>
            </w:tcBorders>
            <w:shd w:val="clear" w:color="auto" w:fill="FFFFFF" w:themeFill="background1"/>
            <w:hideMark/>
          </w:tcPr>
          <w:p w14:paraId="336EBA9E" w14:textId="77777777" w:rsidR="0008441C" w:rsidRPr="0014147B" w:rsidRDefault="0008441C" w:rsidP="000C60C3">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782,2</w:t>
            </w:r>
          </w:p>
        </w:tc>
        <w:tc>
          <w:tcPr>
            <w:tcW w:w="408" w:type="pct"/>
            <w:tcBorders>
              <w:top w:val="single" w:sz="4" w:space="0" w:color="auto"/>
            </w:tcBorders>
            <w:shd w:val="clear" w:color="auto" w:fill="FFFFFF" w:themeFill="background1"/>
            <w:hideMark/>
          </w:tcPr>
          <w:p w14:paraId="39F9FE7D" w14:textId="77777777" w:rsidR="0008441C" w:rsidRPr="0014147B" w:rsidRDefault="0008441C" w:rsidP="000C60C3">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19,2</w:t>
            </w:r>
          </w:p>
        </w:tc>
        <w:tc>
          <w:tcPr>
            <w:tcW w:w="540" w:type="pct"/>
            <w:tcBorders>
              <w:top w:val="single" w:sz="4" w:space="0" w:color="auto"/>
            </w:tcBorders>
            <w:shd w:val="clear" w:color="auto" w:fill="FFFFFF" w:themeFill="background1"/>
            <w:hideMark/>
          </w:tcPr>
          <w:p w14:paraId="46A4D900" w14:textId="77777777" w:rsidR="0008441C" w:rsidRPr="0014147B" w:rsidRDefault="0008441C" w:rsidP="000C60C3">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946,8</w:t>
            </w:r>
          </w:p>
        </w:tc>
        <w:tc>
          <w:tcPr>
            <w:tcW w:w="497" w:type="pct"/>
            <w:tcBorders>
              <w:top w:val="single" w:sz="4" w:space="0" w:color="auto"/>
            </w:tcBorders>
            <w:shd w:val="clear" w:color="auto" w:fill="FFFFFF" w:themeFill="background1"/>
            <w:hideMark/>
          </w:tcPr>
          <w:p w14:paraId="3D25BBCD" w14:textId="77777777" w:rsidR="0008441C" w:rsidRPr="0014147B" w:rsidRDefault="0008441C" w:rsidP="000C60C3">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15,4</w:t>
            </w:r>
          </w:p>
        </w:tc>
      </w:tr>
      <w:tr w:rsidR="0008441C" w:rsidRPr="0014147B" w14:paraId="74EC9CE8" w14:textId="77777777" w:rsidTr="000C60C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hideMark/>
          </w:tcPr>
          <w:p w14:paraId="557E1DC4" w14:textId="77777777" w:rsidR="0008441C" w:rsidRPr="00875153" w:rsidRDefault="0008441C" w:rsidP="000C60C3">
            <w:pPr>
              <w:spacing w:before="60"/>
              <w:rPr>
                <w:rFonts w:ascii="Times New Roman" w:eastAsia="Times New Roman" w:hAnsi="Times New Roman" w:cs="Times New Roman"/>
                <w:b w:val="0"/>
                <w:color w:val="auto"/>
                <w:shd w:val="clear" w:color="auto" w:fill="FFFFFF"/>
                <w:lang w:eastAsia="ru-RU"/>
              </w:rPr>
            </w:pPr>
            <w:r w:rsidRPr="00875153">
              <w:rPr>
                <w:rFonts w:ascii="Times New Roman" w:eastAsia="Times New Roman" w:hAnsi="Times New Roman" w:cs="Times New Roman"/>
                <w:b w:val="0"/>
                <w:bCs w:val="0"/>
                <w:color w:val="auto"/>
                <w:shd w:val="clear" w:color="auto" w:fill="FFFFFF"/>
                <w:lang w:val="tr-TR" w:eastAsia="ru-RU"/>
              </w:rPr>
              <w:t>Emekli</w:t>
            </w:r>
          </w:p>
        </w:tc>
        <w:tc>
          <w:tcPr>
            <w:tcW w:w="506" w:type="pct"/>
            <w:shd w:val="clear" w:color="auto" w:fill="FFFFFF" w:themeFill="background1"/>
            <w:hideMark/>
          </w:tcPr>
          <w:p w14:paraId="6248D107" w14:textId="77777777" w:rsidR="0008441C" w:rsidRPr="0014147B" w:rsidRDefault="0008441C" w:rsidP="000C60C3">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521,1</w:t>
            </w:r>
          </w:p>
        </w:tc>
        <w:tc>
          <w:tcPr>
            <w:tcW w:w="429" w:type="pct"/>
            <w:shd w:val="clear" w:color="auto" w:fill="FFFFFF" w:themeFill="background1"/>
            <w:hideMark/>
          </w:tcPr>
          <w:p w14:paraId="1E87D7CE" w14:textId="77777777" w:rsidR="0008441C" w:rsidRPr="0014147B" w:rsidRDefault="0008441C" w:rsidP="000C60C3">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12,6</w:t>
            </w:r>
          </w:p>
        </w:tc>
        <w:tc>
          <w:tcPr>
            <w:tcW w:w="540" w:type="pct"/>
            <w:shd w:val="clear" w:color="auto" w:fill="FFFFFF" w:themeFill="background1"/>
            <w:hideMark/>
          </w:tcPr>
          <w:p w14:paraId="5C6EC0A4" w14:textId="77777777" w:rsidR="0008441C" w:rsidRPr="0014147B" w:rsidRDefault="0008441C" w:rsidP="000C60C3">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533,0</w:t>
            </w:r>
          </w:p>
        </w:tc>
        <w:tc>
          <w:tcPr>
            <w:tcW w:w="374" w:type="pct"/>
            <w:shd w:val="clear" w:color="auto" w:fill="FFFFFF" w:themeFill="background1"/>
            <w:hideMark/>
          </w:tcPr>
          <w:p w14:paraId="1FE1465F" w14:textId="77777777" w:rsidR="0008441C" w:rsidRPr="0014147B" w:rsidRDefault="0008441C" w:rsidP="000C60C3">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13,1</w:t>
            </w:r>
          </w:p>
        </w:tc>
        <w:tc>
          <w:tcPr>
            <w:tcW w:w="554" w:type="pct"/>
            <w:shd w:val="clear" w:color="auto" w:fill="FFFFFF" w:themeFill="background1"/>
            <w:hideMark/>
          </w:tcPr>
          <w:p w14:paraId="2055687B" w14:textId="77777777" w:rsidR="0008441C" w:rsidRPr="0014147B" w:rsidRDefault="0008441C" w:rsidP="000C60C3">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522,7</w:t>
            </w:r>
          </w:p>
        </w:tc>
        <w:tc>
          <w:tcPr>
            <w:tcW w:w="408" w:type="pct"/>
            <w:shd w:val="clear" w:color="auto" w:fill="FFFFFF" w:themeFill="background1"/>
            <w:hideMark/>
          </w:tcPr>
          <w:p w14:paraId="0795F27B" w14:textId="77777777" w:rsidR="0008441C" w:rsidRPr="0014147B" w:rsidRDefault="0008441C" w:rsidP="000C60C3">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13</w:t>
            </w:r>
          </w:p>
        </w:tc>
        <w:tc>
          <w:tcPr>
            <w:tcW w:w="540" w:type="pct"/>
            <w:shd w:val="clear" w:color="auto" w:fill="FFFFFF" w:themeFill="background1"/>
            <w:hideMark/>
          </w:tcPr>
          <w:p w14:paraId="1E840A37" w14:textId="77777777" w:rsidR="0008441C" w:rsidRPr="0014147B" w:rsidRDefault="0008441C" w:rsidP="000C60C3">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557,1</w:t>
            </w:r>
          </w:p>
        </w:tc>
        <w:tc>
          <w:tcPr>
            <w:tcW w:w="497" w:type="pct"/>
            <w:shd w:val="clear" w:color="auto" w:fill="FFFFFF" w:themeFill="background1"/>
            <w:hideMark/>
          </w:tcPr>
          <w:p w14:paraId="4A8895EE" w14:textId="77777777" w:rsidR="0008441C" w:rsidRPr="0014147B" w:rsidRDefault="0008441C" w:rsidP="000C60C3">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9,1</w:t>
            </w:r>
          </w:p>
        </w:tc>
      </w:tr>
      <w:tr w:rsidR="0008441C" w:rsidRPr="0014147B" w14:paraId="23BF89A3" w14:textId="77777777" w:rsidTr="000C60C3">
        <w:trPr>
          <w:trHeight w:val="427"/>
        </w:trPr>
        <w:tc>
          <w:tcPr>
            <w:cnfStyle w:val="001000000000" w:firstRow="0" w:lastRow="0" w:firstColumn="1" w:lastColumn="0" w:oddVBand="0" w:evenVBand="0" w:oddHBand="0" w:evenHBand="0" w:firstRowFirstColumn="0" w:firstRowLastColumn="0" w:lastRowFirstColumn="0" w:lastRowLastColumn="0"/>
            <w:tcW w:w="1152" w:type="pct"/>
            <w:tcBorders>
              <w:bottom w:val="nil"/>
            </w:tcBorders>
            <w:shd w:val="clear" w:color="auto" w:fill="FFFFFF" w:themeFill="background1"/>
            <w:hideMark/>
          </w:tcPr>
          <w:p w14:paraId="344C5B21" w14:textId="77777777" w:rsidR="0008441C" w:rsidRPr="00875153" w:rsidRDefault="0008441C" w:rsidP="000C60C3">
            <w:pPr>
              <w:rPr>
                <w:rFonts w:ascii="Times New Roman" w:eastAsia="Times New Roman" w:hAnsi="Times New Roman" w:cs="Times New Roman"/>
                <w:b w:val="0"/>
                <w:color w:val="auto"/>
                <w:shd w:val="clear" w:color="auto" w:fill="FFFFFF"/>
                <w:lang w:eastAsia="ru-RU"/>
              </w:rPr>
            </w:pPr>
            <w:r>
              <w:rPr>
                <w:rFonts w:ascii="Times New Roman" w:eastAsia="Times New Roman" w:hAnsi="Times New Roman" w:cs="Times New Roman"/>
                <w:b w:val="0"/>
                <w:bCs w:val="0"/>
                <w:color w:val="auto"/>
                <w:shd w:val="clear" w:color="auto" w:fill="FFFFFF"/>
                <w:lang w:val="tr-TR" w:eastAsia="ru-RU"/>
              </w:rPr>
              <w:t>16 yaş altı</w:t>
            </w:r>
            <w:r w:rsidRPr="00875153">
              <w:rPr>
                <w:rFonts w:ascii="Times New Roman" w:eastAsia="Times New Roman" w:hAnsi="Times New Roman" w:cs="Times New Roman"/>
                <w:b w:val="0"/>
                <w:bCs w:val="0"/>
                <w:shd w:val="clear" w:color="auto" w:fill="FFFFFF"/>
                <w:lang w:val="tr-TR" w:eastAsia="ru-RU"/>
              </w:rPr>
              <w:t xml:space="preserve"> çocuklar</w:t>
            </w:r>
          </w:p>
        </w:tc>
        <w:tc>
          <w:tcPr>
            <w:tcW w:w="506" w:type="pct"/>
            <w:tcBorders>
              <w:bottom w:val="nil"/>
            </w:tcBorders>
            <w:shd w:val="clear" w:color="auto" w:fill="FFFFFF" w:themeFill="background1"/>
            <w:hideMark/>
          </w:tcPr>
          <w:p w14:paraId="7050DBB9"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1779,6</w:t>
            </w:r>
          </w:p>
        </w:tc>
        <w:tc>
          <w:tcPr>
            <w:tcW w:w="429" w:type="pct"/>
            <w:tcBorders>
              <w:bottom w:val="nil"/>
            </w:tcBorders>
            <w:shd w:val="clear" w:color="auto" w:fill="FFFFFF" w:themeFill="background1"/>
            <w:hideMark/>
          </w:tcPr>
          <w:p w14:paraId="690A4722"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43,0</w:t>
            </w:r>
          </w:p>
        </w:tc>
        <w:tc>
          <w:tcPr>
            <w:tcW w:w="540" w:type="pct"/>
            <w:tcBorders>
              <w:bottom w:val="nil"/>
            </w:tcBorders>
            <w:shd w:val="clear" w:color="auto" w:fill="FFFFFF" w:themeFill="background1"/>
            <w:hideMark/>
          </w:tcPr>
          <w:p w14:paraId="4A57D82A"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1768,8</w:t>
            </w:r>
          </w:p>
        </w:tc>
        <w:tc>
          <w:tcPr>
            <w:tcW w:w="374" w:type="pct"/>
            <w:tcBorders>
              <w:bottom w:val="nil"/>
            </w:tcBorders>
            <w:shd w:val="clear" w:color="auto" w:fill="FFFFFF" w:themeFill="background1"/>
            <w:hideMark/>
          </w:tcPr>
          <w:p w14:paraId="270CA3EB"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44,0</w:t>
            </w:r>
          </w:p>
        </w:tc>
        <w:tc>
          <w:tcPr>
            <w:tcW w:w="554" w:type="pct"/>
            <w:tcBorders>
              <w:bottom w:val="nil"/>
            </w:tcBorders>
            <w:shd w:val="clear" w:color="auto" w:fill="FFFFFF" w:themeFill="background1"/>
            <w:hideMark/>
          </w:tcPr>
          <w:p w14:paraId="2AF92DFD"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1872,1</w:t>
            </w:r>
          </w:p>
        </w:tc>
        <w:tc>
          <w:tcPr>
            <w:tcW w:w="408" w:type="pct"/>
            <w:tcBorders>
              <w:bottom w:val="nil"/>
            </w:tcBorders>
            <w:shd w:val="clear" w:color="auto" w:fill="FFFFFF" w:themeFill="background1"/>
            <w:hideMark/>
          </w:tcPr>
          <w:p w14:paraId="3465FE8E"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45,6</w:t>
            </w:r>
          </w:p>
        </w:tc>
        <w:tc>
          <w:tcPr>
            <w:tcW w:w="540" w:type="pct"/>
            <w:tcBorders>
              <w:bottom w:val="nil"/>
            </w:tcBorders>
            <w:shd w:val="clear" w:color="auto" w:fill="FFFFFF" w:themeFill="background1"/>
            <w:hideMark/>
          </w:tcPr>
          <w:p w14:paraId="47E3578A"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2102,7</w:t>
            </w:r>
          </w:p>
        </w:tc>
        <w:tc>
          <w:tcPr>
            <w:tcW w:w="497" w:type="pct"/>
            <w:tcBorders>
              <w:bottom w:val="nil"/>
            </w:tcBorders>
            <w:shd w:val="clear" w:color="auto" w:fill="FFFFFF" w:themeFill="background1"/>
            <w:hideMark/>
          </w:tcPr>
          <w:p w14:paraId="77A22DAF"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34,3</w:t>
            </w:r>
          </w:p>
        </w:tc>
      </w:tr>
      <w:tr w:rsidR="0008441C" w:rsidRPr="0014147B" w14:paraId="3B14C52F" w14:textId="77777777" w:rsidTr="000C60C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52" w:type="pct"/>
            <w:tcBorders>
              <w:top w:val="nil"/>
              <w:bottom w:val="nil"/>
            </w:tcBorders>
            <w:shd w:val="clear" w:color="auto" w:fill="FFFFFF" w:themeFill="background1"/>
            <w:hideMark/>
          </w:tcPr>
          <w:p w14:paraId="060FFDD2" w14:textId="77777777" w:rsidR="0008441C" w:rsidRPr="00875153" w:rsidRDefault="0008441C" w:rsidP="000C60C3">
            <w:pPr>
              <w:rPr>
                <w:rFonts w:ascii="Times New Roman" w:eastAsia="Times New Roman" w:hAnsi="Times New Roman" w:cs="Times New Roman"/>
                <w:b w:val="0"/>
                <w:color w:val="auto"/>
                <w:shd w:val="clear" w:color="auto" w:fill="FFFFFF"/>
                <w:lang w:eastAsia="ru-RU"/>
              </w:rPr>
            </w:pPr>
            <w:r w:rsidRPr="00875153">
              <w:rPr>
                <w:rFonts w:ascii="Times New Roman" w:eastAsia="Times New Roman" w:hAnsi="Times New Roman" w:cs="Times New Roman"/>
                <w:b w:val="0"/>
                <w:bCs w:val="0"/>
                <w:color w:val="auto"/>
                <w:shd w:val="clear" w:color="auto" w:fill="FFFFFF"/>
                <w:lang w:val="tr-TR" w:eastAsia="ru-RU"/>
              </w:rPr>
              <w:t>16-18 yaş arasındaki çocuklar</w:t>
            </w:r>
          </w:p>
        </w:tc>
        <w:tc>
          <w:tcPr>
            <w:tcW w:w="506" w:type="pct"/>
            <w:tcBorders>
              <w:top w:val="nil"/>
              <w:bottom w:val="nil"/>
            </w:tcBorders>
            <w:shd w:val="clear" w:color="auto" w:fill="FFFFFF" w:themeFill="background1"/>
            <w:hideMark/>
          </w:tcPr>
          <w:p w14:paraId="2E891F55"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216,3</w:t>
            </w:r>
          </w:p>
        </w:tc>
        <w:tc>
          <w:tcPr>
            <w:tcW w:w="429" w:type="pct"/>
            <w:tcBorders>
              <w:top w:val="nil"/>
              <w:bottom w:val="nil"/>
            </w:tcBorders>
            <w:shd w:val="clear" w:color="auto" w:fill="FFFFFF" w:themeFill="background1"/>
            <w:hideMark/>
          </w:tcPr>
          <w:p w14:paraId="5D83C2A3"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5,2</w:t>
            </w:r>
          </w:p>
        </w:tc>
        <w:tc>
          <w:tcPr>
            <w:tcW w:w="540" w:type="pct"/>
            <w:tcBorders>
              <w:top w:val="nil"/>
              <w:bottom w:val="nil"/>
            </w:tcBorders>
            <w:shd w:val="clear" w:color="auto" w:fill="FFFFFF" w:themeFill="background1"/>
            <w:hideMark/>
          </w:tcPr>
          <w:p w14:paraId="22CEE15A"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208,8</w:t>
            </w:r>
          </w:p>
        </w:tc>
        <w:tc>
          <w:tcPr>
            <w:tcW w:w="374" w:type="pct"/>
            <w:tcBorders>
              <w:top w:val="nil"/>
              <w:bottom w:val="nil"/>
            </w:tcBorders>
            <w:shd w:val="clear" w:color="auto" w:fill="FFFFFF" w:themeFill="background1"/>
            <w:hideMark/>
          </w:tcPr>
          <w:p w14:paraId="75A7F004"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5,2</w:t>
            </w:r>
          </w:p>
        </w:tc>
        <w:tc>
          <w:tcPr>
            <w:tcW w:w="554" w:type="pct"/>
            <w:tcBorders>
              <w:top w:val="nil"/>
              <w:bottom w:val="nil"/>
            </w:tcBorders>
            <w:shd w:val="clear" w:color="auto" w:fill="FFFFFF" w:themeFill="background1"/>
            <w:hideMark/>
          </w:tcPr>
          <w:p w14:paraId="46AFBDBE"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201,7</w:t>
            </w:r>
          </w:p>
        </w:tc>
        <w:tc>
          <w:tcPr>
            <w:tcW w:w="408" w:type="pct"/>
            <w:tcBorders>
              <w:top w:val="nil"/>
              <w:bottom w:val="nil"/>
            </w:tcBorders>
            <w:shd w:val="clear" w:color="auto" w:fill="FFFFFF" w:themeFill="background1"/>
            <w:hideMark/>
          </w:tcPr>
          <w:p w14:paraId="5F0EF844"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4,9</w:t>
            </w:r>
          </w:p>
        </w:tc>
        <w:tc>
          <w:tcPr>
            <w:tcW w:w="540" w:type="pct"/>
            <w:tcBorders>
              <w:top w:val="nil"/>
              <w:bottom w:val="nil"/>
            </w:tcBorders>
            <w:shd w:val="clear" w:color="auto" w:fill="FFFFFF" w:themeFill="background1"/>
            <w:hideMark/>
          </w:tcPr>
          <w:p w14:paraId="5C57252A"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199,2</w:t>
            </w:r>
          </w:p>
        </w:tc>
        <w:tc>
          <w:tcPr>
            <w:tcW w:w="497" w:type="pct"/>
            <w:tcBorders>
              <w:top w:val="nil"/>
              <w:bottom w:val="nil"/>
            </w:tcBorders>
            <w:shd w:val="clear" w:color="auto" w:fill="FFFFFF" w:themeFill="background1"/>
            <w:hideMark/>
          </w:tcPr>
          <w:p w14:paraId="16399BA5"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3,2</w:t>
            </w:r>
          </w:p>
        </w:tc>
      </w:tr>
      <w:tr w:rsidR="0008441C" w:rsidRPr="0014147B" w14:paraId="707416E4" w14:textId="77777777" w:rsidTr="000C60C3">
        <w:trPr>
          <w:trHeight w:val="295"/>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FFFFFF" w:themeFill="background1"/>
            <w:hideMark/>
          </w:tcPr>
          <w:p w14:paraId="26DD776A" w14:textId="77777777" w:rsidR="0008441C" w:rsidRPr="00875153" w:rsidRDefault="0008441C" w:rsidP="000C60C3">
            <w:pPr>
              <w:rPr>
                <w:rFonts w:ascii="Times New Roman" w:eastAsia="Times New Roman" w:hAnsi="Times New Roman" w:cs="Times New Roman"/>
                <w:b w:val="0"/>
                <w:color w:val="auto"/>
                <w:shd w:val="clear" w:color="auto" w:fill="FFFFFF"/>
                <w:lang w:eastAsia="ru-RU"/>
              </w:rPr>
            </w:pPr>
            <w:r w:rsidRPr="00875153">
              <w:rPr>
                <w:rFonts w:ascii="Times New Roman" w:eastAsia="Times New Roman" w:hAnsi="Times New Roman" w:cs="Times New Roman"/>
                <w:b w:val="0"/>
                <w:bCs w:val="0"/>
                <w:color w:val="auto"/>
                <w:shd w:val="clear" w:color="auto" w:fill="FFFFFF"/>
                <w:lang w:val="tr-TR" w:eastAsia="ru-RU"/>
              </w:rPr>
              <w:t>Çiftçiler</w:t>
            </w:r>
          </w:p>
        </w:tc>
        <w:tc>
          <w:tcPr>
            <w:tcW w:w="506" w:type="pct"/>
            <w:tcBorders>
              <w:top w:val="nil"/>
              <w:left w:val="nil"/>
              <w:bottom w:val="nil"/>
              <w:right w:val="nil"/>
            </w:tcBorders>
            <w:shd w:val="clear" w:color="auto" w:fill="FFFFFF" w:themeFill="background1"/>
            <w:hideMark/>
          </w:tcPr>
          <w:p w14:paraId="193AE119"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389,4</w:t>
            </w:r>
          </w:p>
        </w:tc>
        <w:tc>
          <w:tcPr>
            <w:tcW w:w="429" w:type="pct"/>
            <w:tcBorders>
              <w:top w:val="nil"/>
              <w:left w:val="nil"/>
              <w:bottom w:val="nil"/>
              <w:right w:val="nil"/>
            </w:tcBorders>
            <w:shd w:val="clear" w:color="auto" w:fill="FFFFFF" w:themeFill="background1"/>
            <w:hideMark/>
          </w:tcPr>
          <w:p w14:paraId="02DA296B"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9,4</w:t>
            </w:r>
          </w:p>
        </w:tc>
        <w:tc>
          <w:tcPr>
            <w:tcW w:w="540" w:type="pct"/>
            <w:tcBorders>
              <w:top w:val="nil"/>
              <w:left w:val="nil"/>
              <w:bottom w:val="nil"/>
              <w:right w:val="nil"/>
            </w:tcBorders>
            <w:shd w:val="clear" w:color="auto" w:fill="FFFFFF" w:themeFill="background1"/>
            <w:hideMark/>
          </w:tcPr>
          <w:p w14:paraId="06739D3B"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606,3</w:t>
            </w:r>
          </w:p>
        </w:tc>
        <w:tc>
          <w:tcPr>
            <w:tcW w:w="374" w:type="pct"/>
            <w:tcBorders>
              <w:top w:val="nil"/>
              <w:left w:val="nil"/>
              <w:bottom w:val="nil"/>
              <w:right w:val="nil"/>
            </w:tcBorders>
            <w:shd w:val="clear" w:color="auto" w:fill="FFFFFF" w:themeFill="background1"/>
            <w:hideMark/>
          </w:tcPr>
          <w:p w14:paraId="1C638C1F"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15,1</w:t>
            </w:r>
          </w:p>
        </w:tc>
        <w:tc>
          <w:tcPr>
            <w:tcW w:w="554" w:type="pct"/>
            <w:tcBorders>
              <w:top w:val="nil"/>
              <w:left w:val="nil"/>
              <w:bottom w:val="nil"/>
              <w:right w:val="nil"/>
            </w:tcBorders>
            <w:shd w:val="clear" w:color="auto" w:fill="FFFFFF" w:themeFill="background1"/>
            <w:hideMark/>
          </w:tcPr>
          <w:p w14:paraId="320347C3"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583,5</w:t>
            </w:r>
          </w:p>
        </w:tc>
        <w:tc>
          <w:tcPr>
            <w:tcW w:w="408" w:type="pct"/>
            <w:tcBorders>
              <w:top w:val="nil"/>
              <w:left w:val="nil"/>
              <w:bottom w:val="nil"/>
              <w:right w:val="nil"/>
            </w:tcBorders>
            <w:shd w:val="clear" w:color="auto" w:fill="FFFFFF" w:themeFill="background1"/>
            <w:hideMark/>
          </w:tcPr>
          <w:p w14:paraId="42E4CB82"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14,2</w:t>
            </w:r>
          </w:p>
        </w:tc>
        <w:tc>
          <w:tcPr>
            <w:tcW w:w="540" w:type="pct"/>
            <w:tcBorders>
              <w:top w:val="nil"/>
              <w:left w:val="nil"/>
              <w:bottom w:val="nil"/>
              <w:right w:val="nil"/>
            </w:tcBorders>
            <w:shd w:val="clear" w:color="auto" w:fill="FFFFFF" w:themeFill="background1"/>
            <w:hideMark/>
          </w:tcPr>
          <w:p w14:paraId="5E601D3E"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766,6</w:t>
            </w:r>
          </w:p>
        </w:tc>
        <w:tc>
          <w:tcPr>
            <w:tcW w:w="497" w:type="pct"/>
            <w:tcBorders>
              <w:top w:val="nil"/>
              <w:left w:val="nil"/>
              <w:bottom w:val="nil"/>
              <w:right w:val="nil"/>
            </w:tcBorders>
            <w:shd w:val="clear" w:color="auto" w:fill="FFFFFF" w:themeFill="background1"/>
            <w:hideMark/>
          </w:tcPr>
          <w:p w14:paraId="284EC1F8"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12,5</w:t>
            </w:r>
          </w:p>
        </w:tc>
      </w:tr>
      <w:tr w:rsidR="0008441C" w:rsidRPr="0014147B" w14:paraId="1CDB633F" w14:textId="77777777" w:rsidTr="000C60C3">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152" w:type="pct"/>
            <w:tcBorders>
              <w:top w:val="nil"/>
              <w:bottom w:val="nil"/>
            </w:tcBorders>
            <w:shd w:val="clear" w:color="auto" w:fill="FFFFFF" w:themeFill="background1"/>
            <w:hideMark/>
          </w:tcPr>
          <w:p w14:paraId="309F13D4" w14:textId="77777777" w:rsidR="0008441C" w:rsidRPr="00DA69EF" w:rsidRDefault="0008441C" w:rsidP="000C60C3">
            <w:pPr>
              <w:rPr>
                <w:rFonts w:ascii="Times New Roman" w:eastAsia="Times New Roman" w:hAnsi="Times New Roman" w:cs="Times New Roman"/>
                <w:b w:val="0"/>
                <w:bCs w:val="0"/>
                <w:color w:val="auto"/>
                <w:shd w:val="clear" w:color="auto" w:fill="FFFFFF"/>
                <w:lang w:val="tr-TR" w:eastAsia="ru-RU"/>
              </w:rPr>
            </w:pPr>
            <w:r>
              <w:rPr>
                <w:rFonts w:ascii="Times New Roman" w:eastAsia="Times New Roman" w:hAnsi="Times New Roman" w:cs="Times New Roman"/>
                <w:b w:val="0"/>
                <w:bCs w:val="0"/>
                <w:color w:val="auto"/>
                <w:shd w:val="clear" w:color="auto" w:fill="FFFFFF"/>
                <w:lang w:val="tr-TR" w:eastAsia="ru-RU"/>
              </w:rPr>
              <w:t xml:space="preserve">Sosyal hizmet </w:t>
            </w:r>
            <w:r w:rsidRPr="00875153">
              <w:rPr>
                <w:rFonts w:ascii="Times New Roman" w:eastAsia="Times New Roman" w:hAnsi="Times New Roman" w:cs="Times New Roman"/>
                <w:b w:val="0"/>
                <w:bCs w:val="0"/>
                <w:color w:val="auto"/>
                <w:shd w:val="clear" w:color="auto" w:fill="FFFFFF"/>
                <w:lang w:val="tr-TR" w:eastAsia="ru-RU"/>
              </w:rPr>
              <w:t>alan bireyler</w:t>
            </w:r>
          </w:p>
        </w:tc>
        <w:tc>
          <w:tcPr>
            <w:tcW w:w="506" w:type="pct"/>
            <w:tcBorders>
              <w:top w:val="nil"/>
              <w:bottom w:val="nil"/>
            </w:tcBorders>
            <w:shd w:val="clear" w:color="auto" w:fill="FFFFFF" w:themeFill="background1"/>
            <w:vAlign w:val="center"/>
            <w:hideMark/>
          </w:tcPr>
          <w:p w14:paraId="61C86E2D"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77,5</w:t>
            </w:r>
          </w:p>
        </w:tc>
        <w:tc>
          <w:tcPr>
            <w:tcW w:w="429" w:type="pct"/>
            <w:tcBorders>
              <w:top w:val="nil"/>
              <w:bottom w:val="nil"/>
            </w:tcBorders>
            <w:shd w:val="clear" w:color="auto" w:fill="FFFFFF" w:themeFill="background1"/>
            <w:vAlign w:val="center"/>
            <w:hideMark/>
          </w:tcPr>
          <w:p w14:paraId="61379D19"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1,9</w:t>
            </w:r>
          </w:p>
        </w:tc>
        <w:tc>
          <w:tcPr>
            <w:tcW w:w="540" w:type="pct"/>
            <w:tcBorders>
              <w:top w:val="nil"/>
              <w:bottom w:val="nil"/>
            </w:tcBorders>
            <w:shd w:val="clear" w:color="auto" w:fill="FFFFFF" w:themeFill="background1"/>
            <w:vAlign w:val="center"/>
            <w:hideMark/>
          </w:tcPr>
          <w:p w14:paraId="2D929F60"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83,4</w:t>
            </w:r>
          </w:p>
        </w:tc>
        <w:tc>
          <w:tcPr>
            <w:tcW w:w="374" w:type="pct"/>
            <w:tcBorders>
              <w:top w:val="nil"/>
              <w:bottom w:val="nil"/>
            </w:tcBorders>
            <w:shd w:val="clear" w:color="auto" w:fill="FFFFFF" w:themeFill="background1"/>
            <w:vAlign w:val="center"/>
            <w:hideMark/>
          </w:tcPr>
          <w:p w14:paraId="6CF8F0CD"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2,1</w:t>
            </w:r>
          </w:p>
        </w:tc>
        <w:tc>
          <w:tcPr>
            <w:tcW w:w="554" w:type="pct"/>
            <w:tcBorders>
              <w:top w:val="nil"/>
              <w:bottom w:val="nil"/>
            </w:tcBorders>
            <w:shd w:val="clear" w:color="auto" w:fill="FFFFFF" w:themeFill="background1"/>
            <w:vAlign w:val="center"/>
            <w:hideMark/>
          </w:tcPr>
          <w:p w14:paraId="253ADAE4"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87,2</w:t>
            </w:r>
          </w:p>
        </w:tc>
        <w:tc>
          <w:tcPr>
            <w:tcW w:w="408" w:type="pct"/>
            <w:tcBorders>
              <w:top w:val="nil"/>
              <w:bottom w:val="nil"/>
            </w:tcBorders>
            <w:shd w:val="clear" w:color="auto" w:fill="FFFFFF" w:themeFill="background1"/>
            <w:vAlign w:val="center"/>
            <w:hideMark/>
          </w:tcPr>
          <w:p w14:paraId="5DEC1E64"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2,1</w:t>
            </w:r>
          </w:p>
        </w:tc>
        <w:tc>
          <w:tcPr>
            <w:tcW w:w="540" w:type="pct"/>
            <w:tcBorders>
              <w:top w:val="nil"/>
              <w:bottom w:val="nil"/>
            </w:tcBorders>
            <w:shd w:val="clear" w:color="auto" w:fill="FFFFFF" w:themeFill="background1"/>
            <w:vAlign w:val="center"/>
            <w:hideMark/>
          </w:tcPr>
          <w:p w14:paraId="4656B9B2"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67,3</w:t>
            </w:r>
          </w:p>
        </w:tc>
        <w:tc>
          <w:tcPr>
            <w:tcW w:w="497" w:type="pct"/>
            <w:tcBorders>
              <w:top w:val="nil"/>
              <w:bottom w:val="nil"/>
            </w:tcBorders>
            <w:shd w:val="clear" w:color="auto" w:fill="FFFFFF" w:themeFill="background1"/>
            <w:vAlign w:val="center"/>
            <w:hideMark/>
          </w:tcPr>
          <w:p w14:paraId="081EB390"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1,1</w:t>
            </w:r>
          </w:p>
        </w:tc>
      </w:tr>
      <w:tr w:rsidR="0008441C" w:rsidRPr="0014147B" w14:paraId="5A124470" w14:textId="77777777" w:rsidTr="000C60C3">
        <w:trPr>
          <w:trHeight w:val="566"/>
        </w:trPr>
        <w:tc>
          <w:tcPr>
            <w:cnfStyle w:val="001000000000" w:firstRow="0" w:lastRow="0" w:firstColumn="1" w:lastColumn="0" w:oddVBand="0" w:evenVBand="0" w:oddHBand="0" w:evenHBand="0" w:firstRowFirstColumn="0" w:firstRowLastColumn="0" w:lastRowFirstColumn="0" w:lastRowLastColumn="0"/>
            <w:tcW w:w="1152" w:type="pct"/>
            <w:tcBorders>
              <w:top w:val="nil"/>
              <w:left w:val="nil"/>
              <w:bottom w:val="nil"/>
              <w:right w:val="nil"/>
            </w:tcBorders>
            <w:shd w:val="clear" w:color="auto" w:fill="FFFFFF" w:themeFill="background1"/>
            <w:hideMark/>
          </w:tcPr>
          <w:p w14:paraId="277B29C0" w14:textId="77777777" w:rsidR="0008441C" w:rsidRPr="00875153" w:rsidRDefault="0008441C" w:rsidP="000C60C3">
            <w:pPr>
              <w:rPr>
                <w:rFonts w:ascii="Times New Roman" w:eastAsia="Times New Roman" w:hAnsi="Times New Roman" w:cs="Times New Roman"/>
                <w:b w:val="0"/>
                <w:color w:val="auto"/>
                <w:shd w:val="clear" w:color="auto" w:fill="FFFFFF"/>
                <w:lang w:val="en-US" w:eastAsia="ru-RU"/>
              </w:rPr>
            </w:pPr>
            <w:r w:rsidRPr="00875153">
              <w:rPr>
                <w:rFonts w:ascii="Times New Roman" w:eastAsia="Times New Roman" w:hAnsi="Times New Roman" w:cs="Times New Roman"/>
                <w:b w:val="0"/>
                <w:bCs w:val="0"/>
                <w:color w:val="auto"/>
                <w:shd w:val="clear" w:color="auto" w:fill="FFFFFF"/>
                <w:lang w:val="tr-TR" w:eastAsia="ru-RU"/>
              </w:rPr>
              <w:t>Kendisi ZSS poliçesini satın alanlar</w:t>
            </w:r>
          </w:p>
        </w:tc>
        <w:tc>
          <w:tcPr>
            <w:tcW w:w="506" w:type="pct"/>
            <w:tcBorders>
              <w:top w:val="nil"/>
              <w:left w:val="nil"/>
              <w:bottom w:val="nil"/>
              <w:right w:val="nil"/>
            </w:tcBorders>
            <w:shd w:val="clear" w:color="auto" w:fill="FFFFFF" w:themeFill="background1"/>
            <w:vAlign w:val="center"/>
            <w:hideMark/>
          </w:tcPr>
          <w:p w14:paraId="3AFD77A1"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4,9</w:t>
            </w:r>
          </w:p>
        </w:tc>
        <w:tc>
          <w:tcPr>
            <w:tcW w:w="429" w:type="pct"/>
            <w:tcBorders>
              <w:top w:val="nil"/>
              <w:left w:val="nil"/>
              <w:bottom w:val="nil"/>
              <w:right w:val="nil"/>
            </w:tcBorders>
            <w:shd w:val="clear" w:color="auto" w:fill="FFFFFF" w:themeFill="background1"/>
            <w:vAlign w:val="center"/>
            <w:hideMark/>
          </w:tcPr>
          <w:p w14:paraId="28E31CE7"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0,2</w:t>
            </w:r>
          </w:p>
        </w:tc>
        <w:tc>
          <w:tcPr>
            <w:tcW w:w="540" w:type="pct"/>
            <w:tcBorders>
              <w:top w:val="nil"/>
              <w:left w:val="nil"/>
              <w:bottom w:val="nil"/>
              <w:right w:val="nil"/>
            </w:tcBorders>
            <w:shd w:val="clear" w:color="auto" w:fill="FFFFFF" w:themeFill="background1"/>
            <w:vAlign w:val="center"/>
            <w:hideMark/>
          </w:tcPr>
          <w:p w14:paraId="2BD89359"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8,7</w:t>
            </w:r>
          </w:p>
        </w:tc>
        <w:tc>
          <w:tcPr>
            <w:tcW w:w="374" w:type="pct"/>
            <w:tcBorders>
              <w:top w:val="nil"/>
              <w:left w:val="nil"/>
              <w:bottom w:val="nil"/>
              <w:right w:val="nil"/>
            </w:tcBorders>
            <w:shd w:val="clear" w:color="auto" w:fill="FFFFFF" w:themeFill="background1"/>
            <w:vAlign w:val="center"/>
            <w:hideMark/>
          </w:tcPr>
          <w:p w14:paraId="2E999779"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0,2</w:t>
            </w:r>
          </w:p>
        </w:tc>
        <w:tc>
          <w:tcPr>
            <w:tcW w:w="554" w:type="pct"/>
            <w:tcBorders>
              <w:top w:val="nil"/>
              <w:left w:val="nil"/>
              <w:bottom w:val="nil"/>
              <w:right w:val="nil"/>
            </w:tcBorders>
            <w:shd w:val="clear" w:color="auto" w:fill="FFFFFF" w:themeFill="background1"/>
            <w:vAlign w:val="center"/>
            <w:hideMark/>
          </w:tcPr>
          <w:p w14:paraId="5554C423"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38,5</w:t>
            </w:r>
          </w:p>
        </w:tc>
        <w:tc>
          <w:tcPr>
            <w:tcW w:w="408" w:type="pct"/>
            <w:tcBorders>
              <w:top w:val="nil"/>
              <w:left w:val="nil"/>
              <w:bottom w:val="nil"/>
              <w:right w:val="nil"/>
            </w:tcBorders>
            <w:shd w:val="clear" w:color="auto" w:fill="FFFFFF" w:themeFill="background1"/>
            <w:vAlign w:val="center"/>
            <w:hideMark/>
          </w:tcPr>
          <w:p w14:paraId="2FF561FC"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0,9</w:t>
            </w:r>
          </w:p>
        </w:tc>
        <w:tc>
          <w:tcPr>
            <w:tcW w:w="540" w:type="pct"/>
            <w:tcBorders>
              <w:top w:val="nil"/>
              <w:left w:val="nil"/>
              <w:bottom w:val="nil"/>
              <w:right w:val="nil"/>
            </w:tcBorders>
            <w:shd w:val="clear" w:color="auto" w:fill="FFFFFF" w:themeFill="background1"/>
            <w:vAlign w:val="center"/>
            <w:hideMark/>
          </w:tcPr>
          <w:p w14:paraId="73BCD045"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8,5</w:t>
            </w:r>
          </w:p>
        </w:tc>
        <w:tc>
          <w:tcPr>
            <w:tcW w:w="497" w:type="pct"/>
            <w:tcBorders>
              <w:top w:val="nil"/>
              <w:left w:val="nil"/>
              <w:bottom w:val="nil"/>
              <w:right w:val="nil"/>
            </w:tcBorders>
            <w:shd w:val="clear" w:color="auto" w:fill="FFFFFF" w:themeFill="background1"/>
            <w:vAlign w:val="center"/>
            <w:hideMark/>
          </w:tcPr>
          <w:p w14:paraId="2D8ECB19"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0,1</w:t>
            </w:r>
          </w:p>
        </w:tc>
      </w:tr>
      <w:tr w:rsidR="0008441C" w:rsidRPr="0014147B" w14:paraId="4F9AD8FB" w14:textId="77777777" w:rsidTr="000C60C3">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152" w:type="pct"/>
            <w:tcBorders>
              <w:top w:val="nil"/>
              <w:bottom w:val="nil"/>
            </w:tcBorders>
            <w:shd w:val="clear" w:color="auto" w:fill="FFFFFF" w:themeFill="background1"/>
            <w:hideMark/>
          </w:tcPr>
          <w:p w14:paraId="09D86C09" w14:textId="77777777" w:rsidR="0008441C" w:rsidRPr="00875153" w:rsidRDefault="0008441C" w:rsidP="000C60C3">
            <w:pPr>
              <w:rPr>
                <w:rFonts w:ascii="Times New Roman" w:eastAsia="Times New Roman" w:hAnsi="Times New Roman" w:cs="Times New Roman"/>
                <w:b w:val="0"/>
                <w:color w:val="auto"/>
                <w:shd w:val="clear" w:color="auto" w:fill="FFFFFF"/>
                <w:lang w:val="en-US" w:eastAsia="ru-RU"/>
              </w:rPr>
            </w:pPr>
            <w:r w:rsidRPr="00875153">
              <w:rPr>
                <w:rFonts w:ascii="Times New Roman" w:eastAsia="Times New Roman" w:hAnsi="Times New Roman" w:cs="Times New Roman"/>
                <w:b w:val="0"/>
                <w:bCs w:val="0"/>
                <w:color w:val="auto"/>
                <w:shd w:val="clear" w:color="auto" w:fill="FFFFFF"/>
                <w:lang w:val="tr-TR" w:eastAsia="ru-RU"/>
              </w:rPr>
              <w:t xml:space="preserve">BMMYK’den gelen fondan yararlayan Mülteciler </w:t>
            </w:r>
          </w:p>
        </w:tc>
        <w:tc>
          <w:tcPr>
            <w:tcW w:w="506" w:type="pct"/>
            <w:tcBorders>
              <w:top w:val="nil"/>
              <w:bottom w:val="nil"/>
            </w:tcBorders>
            <w:shd w:val="clear" w:color="auto" w:fill="FFFFFF" w:themeFill="background1"/>
            <w:vAlign w:val="center"/>
            <w:hideMark/>
          </w:tcPr>
          <w:p w14:paraId="4EB54599"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0,2</w:t>
            </w:r>
          </w:p>
        </w:tc>
        <w:tc>
          <w:tcPr>
            <w:tcW w:w="429" w:type="pct"/>
            <w:tcBorders>
              <w:top w:val="nil"/>
              <w:bottom w:val="nil"/>
            </w:tcBorders>
            <w:shd w:val="clear" w:color="auto" w:fill="FFFFFF" w:themeFill="background1"/>
            <w:vAlign w:val="center"/>
            <w:hideMark/>
          </w:tcPr>
          <w:p w14:paraId="1B3BDE7E"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0,0003</w:t>
            </w:r>
          </w:p>
        </w:tc>
        <w:tc>
          <w:tcPr>
            <w:tcW w:w="540" w:type="pct"/>
            <w:tcBorders>
              <w:top w:val="nil"/>
              <w:bottom w:val="nil"/>
            </w:tcBorders>
            <w:shd w:val="clear" w:color="auto" w:fill="FFFFFF" w:themeFill="background1"/>
            <w:vAlign w:val="center"/>
            <w:hideMark/>
          </w:tcPr>
          <w:p w14:paraId="62D34E6E"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0,1</w:t>
            </w:r>
          </w:p>
        </w:tc>
        <w:tc>
          <w:tcPr>
            <w:tcW w:w="374" w:type="pct"/>
            <w:tcBorders>
              <w:top w:val="nil"/>
              <w:bottom w:val="nil"/>
            </w:tcBorders>
            <w:shd w:val="clear" w:color="auto" w:fill="FFFFFF" w:themeFill="background1"/>
            <w:vAlign w:val="center"/>
            <w:hideMark/>
          </w:tcPr>
          <w:p w14:paraId="5F74B6D0"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0,003</w:t>
            </w:r>
          </w:p>
        </w:tc>
        <w:tc>
          <w:tcPr>
            <w:tcW w:w="554" w:type="pct"/>
            <w:tcBorders>
              <w:top w:val="nil"/>
              <w:bottom w:val="nil"/>
            </w:tcBorders>
            <w:shd w:val="clear" w:color="auto" w:fill="FFFFFF" w:themeFill="background1"/>
            <w:vAlign w:val="center"/>
            <w:hideMark/>
          </w:tcPr>
          <w:p w14:paraId="1B963623"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0,2</w:t>
            </w:r>
          </w:p>
        </w:tc>
        <w:tc>
          <w:tcPr>
            <w:tcW w:w="408" w:type="pct"/>
            <w:tcBorders>
              <w:top w:val="nil"/>
              <w:bottom w:val="nil"/>
            </w:tcBorders>
            <w:shd w:val="clear" w:color="auto" w:fill="FFFFFF" w:themeFill="background1"/>
            <w:vAlign w:val="center"/>
            <w:hideMark/>
          </w:tcPr>
          <w:p w14:paraId="6CA797C2"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0,01</w:t>
            </w:r>
          </w:p>
        </w:tc>
        <w:tc>
          <w:tcPr>
            <w:tcW w:w="540" w:type="pct"/>
            <w:tcBorders>
              <w:top w:val="nil"/>
              <w:bottom w:val="nil"/>
            </w:tcBorders>
            <w:shd w:val="clear" w:color="auto" w:fill="FFFFFF" w:themeFill="background1"/>
            <w:vAlign w:val="center"/>
            <w:hideMark/>
          </w:tcPr>
          <w:p w14:paraId="7475CC68"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0,2</w:t>
            </w:r>
          </w:p>
        </w:tc>
        <w:tc>
          <w:tcPr>
            <w:tcW w:w="497" w:type="pct"/>
            <w:tcBorders>
              <w:top w:val="nil"/>
              <w:bottom w:val="nil"/>
            </w:tcBorders>
            <w:shd w:val="clear" w:color="auto" w:fill="FFFFFF" w:themeFill="background1"/>
            <w:vAlign w:val="center"/>
            <w:hideMark/>
          </w:tcPr>
          <w:p w14:paraId="662FB760"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0,01</w:t>
            </w:r>
          </w:p>
        </w:tc>
      </w:tr>
      <w:tr w:rsidR="0008441C" w:rsidRPr="0014147B" w14:paraId="1F8F2B1B" w14:textId="77777777" w:rsidTr="000C60C3">
        <w:trPr>
          <w:trHeight w:val="316"/>
        </w:trPr>
        <w:tc>
          <w:tcPr>
            <w:cnfStyle w:val="001000000000" w:firstRow="0" w:lastRow="0" w:firstColumn="1" w:lastColumn="0" w:oddVBand="0" w:evenVBand="0" w:oddHBand="0" w:evenHBand="0" w:firstRowFirstColumn="0" w:firstRowLastColumn="0" w:lastRowFirstColumn="0" w:lastRowLastColumn="0"/>
            <w:tcW w:w="1152" w:type="pct"/>
            <w:tcBorders>
              <w:top w:val="nil"/>
              <w:bottom w:val="single" w:sz="4" w:space="0" w:color="auto"/>
            </w:tcBorders>
            <w:shd w:val="clear" w:color="auto" w:fill="FFFFFF" w:themeFill="background1"/>
            <w:hideMark/>
          </w:tcPr>
          <w:p w14:paraId="0282FFBC" w14:textId="77777777" w:rsidR="0008441C" w:rsidRPr="00875153" w:rsidRDefault="0008441C" w:rsidP="000C60C3">
            <w:pPr>
              <w:rPr>
                <w:rFonts w:ascii="Times New Roman" w:eastAsia="Times New Roman" w:hAnsi="Times New Roman" w:cs="Times New Roman"/>
                <w:b w:val="0"/>
                <w:color w:val="auto"/>
                <w:shd w:val="clear" w:color="auto" w:fill="FFFFFF"/>
                <w:lang w:eastAsia="ru-RU"/>
              </w:rPr>
            </w:pPr>
            <w:r w:rsidRPr="00875153">
              <w:rPr>
                <w:rFonts w:ascii="Times New Roman" w:eastAsia="Times New Roman" w:hAnsi="Times New Roman" w:cs="Times New Roman"/>
                <w:b w:val="0"/>
                <w:bCs w:val="0"/>
                <w:color w:val="auto"/>
                <w:shd w:val="clear" w:color="auto" w:fill="FFFFFF"/>
                <w:lang w:val="tr-TR" w:eastAsia="ru-RU"/>
              </w:rPr>
              <w:t>Askeri personel</w:t>
            </w:r>
          </w:p>
        </w:tc>
        <w:tc>
          <w:tcPr>
            <w:tcW w:w="506" w:type="pct"/>
            <w:tcBorders>
              <w:top w:val="nil"/>
              <w:bottom w:val="single" w:sz="4" w:space="0" w:color="auto"/>
            </w:tcBorders>
            <w:shd w:val="clear" w:color="auto" w:fill="FFFFFF" w:themeFill="background1"/>
            <w:hideMark/>
          </w:tcPr>
          <w:p w14:paraId="76998E02"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2,6</w:t>
            </w:r>
          </w:p>
        </w:tc>
        <w:tc>
          <w:tcPr>
            <w:tcW w:w="429" w:type="pct"/>
            <w:tcBorders>
              <w:top w:val="nil"/>
              <w:bottom w:val="single" w:sz="4" w:space="0" w:color="auto"/>
            </w:tcBorders>
            <w:shd w:val="clear" w:color="auto" w:fill="FFFFFF" w:themeFill="background1"/>
            <w:hideMark/>
          </w:tcPr>
          <w:p w14:paraId="7BE9E434"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0,06</w:t>
            </w:r>
          </w:p>
        </w:tc>
        <w:tc>
          <w:tcPr>
            <w:tcW w:w="540" w:type="pct"/>
            <w:tcBorders>
              <w:top w:val="nil"/>
              <w:bottom w:val="single" w:sz="4" w:space="0" w:color="auto"/>
            </w:tcBorders>
            <w:shd w:val="clear" w:color="auto" w:fill="FFFFFF" w:themeFill="background1"/>
            <w:hideMark/>
          </w:tcPr>
          <w:p w14:paraId="56E48B03"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2,5</w:t>
            </w:r>
          </w:p>
        </w:tc>
        <w:tc>
          <w:tcPr>
            <w:tcW w:w="374" w:type="pct"/>
            <w:tcBorders>
              <w:top w:val="nil"/>
              <w:bottom w:val="single" w:sz="4" w:space="0" w:color="auto"/>
            </w:tcBorders>
            <w:shd w:val="clear" w:color="auto" w:fill="FFFFFF" w:themeFill="background1"/>
            <w:hideMark/>
          </w:tcPr>
          <w:p w14:paraId="18B5D021"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0,06</w:t>
            </w:r>
          </w:p>
        </w:tc>
        <w:tc>
          <w:tcPr>
            <w:tcW w:w="554" w:type="pct"/>
            <w:tcBorders>
              <w:top w:val="nil"/>
              <w:bottom w:val="single" w:sz="4" w:space="0" w:color="auto"/>
            </w:tcBorders>
            <w:shd w:val="clear" w:color="auto" w:fill="FFFFFF" w:themeFill="background1"/>
            <w:hideMark/>
          </w:tcPr>
          <w:p w14:paraId="11FE33E5"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2,5</w:t>
            </w:r>
          </w:p>
        </w:tc>
        <w:tc>
          <w:tcPr>
            <w:tcW w:w="408" w:type="pct"/>
            <w:tcBorders>
              <w:top w:val="nil"/>
              <w:bottom w:val="single" w:sz="4" w:space="0" w:color="auto"/>
            </w:tcBorders>
            <w:shd w:val="clear" w:color="auto" w:fill="FFFFFF" w:themeFill="background1"/>
            <w:hideMark/>
          </w:tcPr>
          <w:p w14:paraId="60198A9E"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0,06</w:t>
            </w:r>
          </w:p>
        </w:tc>
        <w:tc>
          <w:tcPr>
            <w:tcW w:w="540" w:type="pct"/>
            <w:tcBorders>
              <w:top w:val="nil"/>
              <w:bottom w:val="single" w:sz="4" w:space="0" w:color="auto"/>
            </w:tcBorders>
            <w:shd w:val="clear" w:color="auto" w:fill="FFFFFF" w:themeFill="background1"/>
            <w:hideMark/>
          </w:tcPr>
          <w:p w14:paraId="4EE7B29A"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4,3</w:t>
            </w:r>
          </w:p>
        </w:tc>
        <w:tc>
          <w:tcPr>
            <w:tcW w:w="497" w:type="pct"/>
            <w:tcBorders>
              <w:top w:val="nil"/>
              <w:bottom w:val="single" w:sz="4" w:space="0" w:color="auto"/>
            </w:tcBorders>
            <w:shd w:val="clear" w:color="auto" w:fill="FFFFFF" w:themeFill="background1"/>
            <w:hideMark/>
          </w:tcPr>
          <w:p w14:paraId="29BBAAAB" w14:textId="77777777" w:rsidR="0008441C" w:rsidRPr="0014147B" w:rsidRDefault="0008441C" w:rsidP="000C60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0,1</w:t>
            </w:r>
          </w:p>
        </w:tc>
      </w:tr>
      <w:tr w:rsidR="0008441C" w:rsidRPr="0014147B" w14:paraId="3F50EA82" w14:textId="77777777" w:rsidTr="000C60C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152" w:type="pct"/>
            <w:tcBorders>
              <w:top w:val="single" w:sz="4" w:space="0" w:color="auto"/>
              <w:bottom w:val="single" w:sz="8" w:space="0" w:color="000000" w:themeColor="text1"/>
            </w:tcBorders>
            <w:shd w:val="clear" w:color="auto" w:fill="FFFFFF" w:themeFill="background1"/>
            <w:vAlign w:val="center"/>
            <w:hideMark/>
          </w:tcPr>
          <w:p w14:paraId="52755B23" w14:textId="77777777" w:rsidR="0008441C" w:rsidRPr="0014147B" w:rsidRDefault="0008441C" w:rsidP="000C60C3">
            <w:pPr>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bCs w:val="0"/>
                <w:color w:val="auto"/>
                <w:shd w:val="clear" w:color="auto" w:fill="FFFFFF"/>
                <w:lang w:val="tr-TR" w:eastAsia="ru-RU"/>
              </w:rPr>
              <w:t>Toplam</w:t>
            </w:r>
          </w:p>
        </w:tc>
        <w:tc>
          <w:tcPr>
            <w:tcW w:w="506" w:type="pct"/>
            <w:tcBorders>
              <w:top w:val="single" w:sz="4" w:space="0" w:color="auto"/>
              <w:bottom w:val="single" w:sz="8" w:space="0" w:color="000000" w:themeColor="text1"/>
            </w:tcBorders>
            <w:shd w:val="clear" w:color="auto" w:fill="FFFFFF" w:themeFill="background1"/>
            <w:vAlign w:val="center"/>
            <w:hideMark/>
          </w:tcPr>
          <w:p w14:paraId="7B362D9F"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4138</w:t>
            </w:r>
          </w:p>
        </w:tc>
        <w:tc>
          <w:tcPr>
            <w:tcW w:w="429" w:type="pct"/>
            <w:tcBorders>
              <w:top w:val="single" w:sz="4" w:space="0" w:color="auto"/>
              <w:bottom w:val="single" w:sz="8" w:space="0" w:color="000000" w:themeColor="text1"/>
            </w:tcBorders>
            <w:shd w:val="clear" w:color="auto" w:fill="FFFFFF" w:themeFill="background1"/>
            <w:vAlign w:val="center"/>
            <w:hideMark/>
          </w:tcPr>
          <w:p w14:paraId="688119C8"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100</w:t>
            </w:r>
          </w:p>
        </w:tc>
        <w:tc>
          <w:tcPr>
            <w:tcW w:w="540" w:type="pct"/>
            <w:tcBorders>
              <w:top w:val="single" w:sz="4" w:space="0" w:color="auto"/>
              <w:bottom w:val="single" w:sz="8" w:space="0" w:color="000000" w:themeColor="text1"/>
            </w:tcBorders>
            <w:shd w:val="clear" w:color="auto" w:fill="FFFFFF" w:themeFill="background1"/>
            <w:vAlign w:val="center"/>
            <w:hideMark/>
          </w:tcPr>
          <w:p w14:paraId="3BC6F296"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4018,2</w:t>
            </w:r>
          </w:p>
        </w:tc>
        <w:tc>
          <w:tcPr>
            <w:tcW w:w="374" w:type="pct"/>
            <w:tcBorders>
              <w:top w:val="single" w:sz="4" w:space="0" w:color="auto"/>
              <w:bottom w:val="single" w:sz="8" w:space="0" w:color="000000" w:themeColor="text1"/>
            </w:tcBorders>
            <w:shd w:val="clear" w:color="auto" w:fill="FFFFFF" w:themeFill="background1"/>
            <w:vAlign w:val="center"/>
            <w:hideMark/>
          </w:tcPr>
          <w:p w14:paraId="5A5531AB"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100</w:t>
            </w:r>
          </w:p>
        </w:tc>
        <w:tc>
          <w:tcPr>
            <w:tcW w:w="554" w:type="pct"/>
            <w:tcBorders>
              <w:top w:val="single" w:sz="4" w:space="0" w:color="auto"/>
              <w:bottom w:val="single" w:sz="8" w:space="0" w:color="000000" w:themeColor="text1"/>
            </w:tcBorders>
            <w:shd w:val="clear" w:color="auto" w:fill="FFFFFF" w:themeFill="background1"/>
            <w:vAlign w:val="center"/>
            <w:hideMark/>
          </w:tcPr>
          <w:p w14:paraId="115F4A69"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4105,2</w:t>
            </w:r>
          </w:p>
        </w:tc>
        <w:tc>
          <w:tcPr>
            <w:tcW w:w="408" w:type="pct"/>
            <w:tcBorders>
              <w:top w:val="single" w:sz="4" w:space="0" w:color="auto"/>
              <w:bottom w:val="single" w:sz="8" w:space="0" w:color="000000" w:themeColor="text1"/>
            </w:tcBorders>
            <w:shd w:val="clear" w:color="auto" w:fill="FFFFFF" w:themeFill="background1"/>
            <w:vAlign w:val="center"/>
            <w:hideMark/>
          </w:tcPr>
          <w:p w14:paraId="0FB65718"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100</w:t>
            </w:r>
          </w:p>
        </w:tc>
        <w:tc>
          <w:tcPr>
            <w:tcW w:w="540" w:type="pct"/>
            <w:tcBorders>
              <w:top w:val="single" w:sz="4" w:space="0" w:color="auto"/>
              <w:bottom w:val="single" w:sz="8" w:space="0" w:color="000000" w:themeColor="text1"/>
            </w:tcBorders>
            <w:shd w:val="clear" w:color="auto" w:fill="FFFFFF" w:themeFill="background1"/>
            <w:vAlign w:val="center"/>
            <w:hideMark/>
          </w:tcPr>
          <w:p w14:paraId="6137E8FE"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val="tr-TR" w:eastAsia="ru-RU"/>
              </w:rPr>
              <w:t>6 138,9</w:t>
            </w:r>
          </w:p>
        </w:tc>
        <w:tc>
          <w:tcPr>
            <w:tcW w:w="497" w:type="pct"/>
            <w:tcBorders>
              <w:top w:val="single" w:sz="4" w:space="0" w:color="auto"/>
              <w:bottom w:val="single" w:sz="8" w:space="0" w:color="000000" w:themeColor="text1"/>
            </w:tcBorders>
            <w:shd w:val="clear" w:color="auto" w:fill="FFFFFF" w:themeFill="background1"/>
            <w:vAlign w:val="center"/>
            <w:hideMark/>
          </w:tcPr>
          <w:p w14:paraId="38F237BC" w14:textId="77777777" w:rsidR="0008441C" w:rsidRPr="0014147B" w:rsidRDefault="0008441C" w:rsidP="000C60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hd w:val="clear" w:color="auto" w:fill="FFFFFF"/>
                <w:lang w:eastAsia="ru-RU"/>
              </w:rPr>
            </w:pPr>
            <w:r w:rsidRPr="0014147B">
              <w:rPr>
                <w:rFonts w:ascii="Times New Roman" w:eastAsia="Times New Roman" w:hAnsi="Times New Roman" w:cs="Times New Roman"/>
                <w:color w:val="auto"/>
                <w:shd w:val="clear" w:color="auto" w:fill="FFFFFF"/>
                <w:lang w:eastAsia="ru-RU"/>
              </w:rPr>
              <w:t>100</w:t>
            </w:r>
          </w:p>
        </w:tc>
      </w:tr>
    </w:tbl>
    <w:p w14:paraId="1E415472" w14:textId="1FF5383B" w:rsidR="0008441C" w:rsidRPr="002A77F4" w:rsidRDefault="0008441C" w:rsidP="0008441C">
      <w:pPr>
        <w:spacing w:after="0"/>
        <w:rPr>
          <w:rFonts w:ascii="Times New Roman" w:hAnsi="Times New Roman" w:cs="Times New Roman"/>
          <w:i/>
        </w:rPr>
      </w:pPr>
      <w:r w:rsidRPr="002A77F4">
        <w:rPr>
          <w:rFonts w:ascii="Times New Roman" w:hAnsi="Times New Roman" w:cs="Times New Roman"/>
          <w:b/>
          <w:i/>
          <w:lang w:val="en-US"/>
        </w:rPr>
        <w:t>Kaynak</w:t>
      </w:r>
      <w:r w:rsidRPr="002A77F4">
        <w:rPr>
          <w:rFonts w:ascii="Times New Roman" w:hAnsi="Times New Roman" w:cs="Times New Roman"/>
          <w:b/>
          <w:i/>
        </w:rPr>
        <w:t xml:space="preserve">: </w:t>
      </w:r>
      <w:r w:rsidRPr="002A77F4">
        <w:rPr>
          <w:rFonts w:ascii="Times New Roman" w:hAnsi="Times New Roman" w:cs="Times New Roman"/>
          <w:i/>
          <w:lang w:val="en-US"/>
        </w:rPr>
        <w:t>K</w:t>
      </w:r>
      <w:r w:rsidRPr="002A77F4">
        <w:rPr>
          <w:rFonts w:ascii="Times New Roman" w:hAnsi="Times New Roman" w:cs="Times New Roman"/>
          <w:i/>
        </w:rPr>
        <w:t>ı</w:t>
      </w:r>
      <w:r w:rsidRPr="002A77F4">
        <w:rPr>
          <w:rFonts w:ascii="Times New Roman" w:hAnsi="Times New Roman" w:cs="Times New Roman"/>
          <w:i/>
          <w:lang w:val="en-US"/>
        </w:rPr>
        <w:t>rg</w:t>
      </w:r>
      <w:r w:rsidRPr="002A77F4">
        <w:rPr>
          <w:rFonts w:ascii="Times New Roman" w:hAnsi="Times New Roman" w:cs="Times New Roman"/>
          <w:i/>
        </w:rPr>
        <w:t>ı</w:t>
      </w:r>
      <w:r w:rsidRPr="002A77F4">
        <w:rPr>
          <w:rFonts w:ascii="Times New Roman" w:hAnsi="Times New Roman" w:cs="Times New Roman"/>
          <w:i/>
          <w:lang w:val="en-US"/>
        </w:rPr>
        <w:t>z</w:t>
      </w:r>
      <w:r w:rsidRPr="002A77F4">
        <w:rPr>
          <w:rFonts w:ascii="Times New Roman" w:hAnsi="Times New Roman" w:cs="Times New Roman"/>
          <w:i/>
        </w:rPr>
        <w:t xml:space="preserve"> </w:t>
      </w:r>
      <w:r w:rsidRPr="002A77F4">
        <w:rPr>
          <w:rFonts w:ascii="Times New Roman" w:hAnsi="Times New Roman" w:cs="Times New Roman"/>
          <w:i/>
          <w:lang w:val="en-US"/>
        </w:rPr>
        <w:t>Cumhuriyeti</w:t>
      </w:r>
      <w:r w:rsidRPr="002A77F4">
        <w:rPr>
          <w:rFonts w:ascii="Times New Roman" w:hAnsi="Times New Roman" w:cs="Times New Roman"/>
          <w:i/>
          <w:lang w:val="tr-TR"/>
        </w:rPr>
        <w:t xml:space="preserve"> </w:t>
      </w:r>
      <w:r w:rsidRPr="002A77F4">
        <w:rPr>
          <w:rFonts w:ascii="Times New Roman" w:hAnsi="Times New Roman" w:cs="Times New Roman"/>
          <w:i/>
          <w:lang w:val="en-US"/>
        </w:rPr>
        <w:t>ZSSF</w:t>
      </w:r>
      <w:r w:rsidRPr="002A77F4">
        <w:rPr>
          <w:rFonts w:ascii="Times New Roman" w:hAnsi="Times New Roman" w:cs="Times New Roman"/>
          <w:i/>
        </w:rPr>
        <w:t xml:space="preserve"> 2012-2019 </w:t>
      </w:r>
      <w:r w:rsidRPr="002A77F4">
        <w:rPr>
          <w:rFonts w:ascii="Times New Roman" w:hAnsi="Times New Roman" w:cs="Times New Roman"/>
          <w:i/>
          <w:lang w:val="en-US"/>
        </w:rPr>
        <w:t>verilerine</w:t>
      </w:r>
      <w:r w:rsidRPr="002A77F4">
        <w:rPr>
          <w:rFonts w:ascii="Times New Roman" w:hAnsi="Times New Roman" w:cs="Times New Roman"/>
          <w:i/>
        </w:rPr>
        <w:t xml:space="preserve"> </w:t>
      </w:r>
      <w:r w:rsidRPr="002A77F4">
        <w:rPr>
          <w:rFonts w:ascii="Times New Roman" w:hAnsi="Times New Roman" w:cs="Times New Roman"/>
          <w:i/>
          <w:lang w:val="en-US"/>
        </w:rPr>
        <w:t>g</w:t>
      </w:r>
      <w:r w:rsidRPr="002A77F4">
        <w:rPr>
          <w:rFonts w:ascii="Times New Roman" w:hAnsi="Times New Roman" w:cs="Times New Roman"/>
          <w:i/>
        </w:rPr>
        <w:t>ö</w:t>
      </w:r>
      <w:r w:rsidRPr="002A77F4">
        <w:rPr>
          <w:rFonts w:ascii="Times New Roman" w:hAnsi="Times New Roman" w:cs="Times New Roman"/>
          <w:i/>
          <w:lang w:val="en-US"/>
        </w:rPr>
        <w:t>re</w:t>
      </w:r>
      <w:r w:rsidRPr="002A77F4">
        <w:rPr>
          <w:rFonts w:ascii="Times New Roman" w:hAnsi="Times New Roman" w:cs="Times New Roman"/>
          <w:i/>
        </w:rPr>
        <w:t xml:space="preserve"> </w:t>
      </w:r>
      <w:r w:rsidRPr="002A77F4">
        <w:rPr>
          <w:rFonts w:ascii="Times New Roman" w:hAnsi="Times New Roman" w:cs="Times New Roman"/>
          <w:i/>
          <w:lang w:val="en-US"/>
        </w:rPr>
        <w:t>derlenmi</w:t>
      </w:r>
      <w:r w:rsidRPr="002A77F4">
        <w:rPr>
          <w:rFonts w:ascii="Times New Roman" w:hAnsi="Times New Roman" w:cs="Times New Roman"/>
          <w:i/>
        </w:rPr>
        <w:t>ş</w:t>
      </w:r>
      <w:r w:rsidRPr="002A77F4">
        <w:rPr>
          <w:rFonts w:ascii="Times New Roman" w:hAnsi="Times New Roman" w:cs="Times New Roman"/>
          <w:i/>
          <w:lang w:val="en-US"/>
        </w:rPr>
        <w:t>tir</w:t>
      </w:r>
      <w:r w:rsidRPr="002A77F4">
        <w:rPr>
          <w:rFonts w:ascii="Times New Roman" w:hAnsi="Times New Roman" w:cs="Times New Roman"/>
          <w:i/>
        </w:rPr>
        <w:t>.</w:t>
      </w:r>
      <w:r w:rsidR="00645493" w:rsidRPr="00645493">
        <w:t xml:space="preserve"> </w:t>
      </w:r>
      <w:r w:rsidR="00645493" w:rsidRPr="00645493">
        <w:rPr>
          <w:rFonts w:ascii="Times New Roman" w:hAnsi="Times New Roman" w:cs="Times New Roman"/>
          <w:i/>
        </w:rPr>
        <w:t>http://foms.kg/page/reports</w:t>
      </w:r>
    </w:p>
    <w:p w14:paraId="4B515D60" w14:textId="77777777" w:rsidR="0008441C" w:rsidRPr="007D507F" w:rsidRDefault="0008441C" w:rsidP="007D507F">
      <w:pPr>
        <w:spacing w:before="120"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color w:val="000000" w:themeColor="text1"/>
          <w:sz w:val="24"/>
          <w:szCs w:val="24"/>
          <w:lang w:val="tr-TR"/>
        </w:rPr>
        <w:t xml:space="preserve">Tablo 3’deki </w:t>
      </w:r>
      <w:r w:rsidRPr="007D507F">
        <w:rPr>
          <w:rFonts w:ascii="Times New Roman" w:hAnsi="Times New Roman" w:cs="Times New Roman"/>
          <w:sz w:val="24"/>
          <w:szCs w:val="24"/>
          <w:lang w:val="tr-TR"/>
        </w:rPr>
        <w:t>verileri gözden geçirecek olursak, sigortalı vatandaşların yapısında ve dinamiklerinde değişiklikler olmuştur. Sigorta primlerinin en büyük kısmı her zaman işverenlerden alınmıştır, ancak çalışan vatandaşların payındaki düşüşle (2012’de – %27,7, 2019’da – %15,4), bu gösterge de azalmıştır. Bunun nedeni, işverenin kendisinden aktarılan paranın nasıl harcandığını bilmediği için Zorunlu Sağlık Sigortası Fonu’na fon kesmek konusunda isteksiz davranmasında görülmektedir.</w:t>
      </w:r>
    </w:p>
    <w:p w14:paraId="0B77FC0D" w14:textId="2156A6EC" w:rsidR="0008441C" w:rsidRPr="007D507F" w:rsidRDefault="0008441C"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Sigorta katılımcıları arasındakiler incelenecek olursa, bunlar çoğunlukla ZSS fonlarını tüketen kişil</w:t>
      </w:r>
      <w:r w:rsidR="00604D1C" w:rsidRPr="007D507F">
        <w:rPr>
          <w:rFonts w:ascii="Times New Roman" w:hAnsi="Times New Roman" w:cs="Times New Roman"/>
          <w:sz w:val="24"/>
          <w:szCs w:val="24"/>
          <w:lang w:val="tr-TR"/>
        </w:rPr>
        <w:t>erdir ve büyük bir oran 16 yaş</w:t>
      </w:r>
      <w:r w:rsidRPr="007D507F">
        <w:rPr>
          <w:rFonts w:ascii="Times New Roman" w:hAnsi="Times New Roman" w:cs="Times New Roman"/>
          <w:sz w:val="24"/>
          <w:szCs w:val="24"/>
          <w:lang w:val="tr-TR"/>
        </w:rPr>
        <w:t xml:space="preserve"> altındaki çocuklardır. Yüzde olarak, 2019’da payları %34,3 ol</w:t>
      </w:r>
      <w:r w:rsidR="008C7248" w:rsidRPr="007D507F">
        <w:rPr>
          <w:rFonts w:ascii="Times New Roman" w:hAnsi="Times New Roman" w:cs="Times New Roman"/>
          <w:sz w:val="24"/>
          <w:szCs w:val="24"/>
          <w:lang w:val="tr-TR"/>
        </w:rPr>
        <w:t>muştur</w:t>
      </w:r>
      <w:r w:rsidRPr="007D507F">
        <w:rPr>
          <w:rFonts w:ascii="Times New Roman" w:hAnsi="Times New Roman" w:cs="Times New Roman"/>
          <w:sz w:val="24"/>
          <w:szCs w:val="24"/>
          <w:lang w:val="tr-TR"/>
        </w:rPr>
        <w:t>. Ardından %12,5 ile çiftçiler ve %9,1 ile emekliler gelmektedir. Bazı yüksek gelirli ticari işçilerin ZSS sistemine dahil edilmediğine dikkat edilmelidir. Ve sigorta primlerinin yalnızca küçük bir kısmı çiftçiler ve özel girişimciler tarafından sağlanmaktadır.</w:t>
      </w:r>
    </w:p>
    <w:p w14:paraId="150D3FD7" w14:textId="09A850EC" w:rsidR="0008441C" w:rsidRPr="007D507F" w:rsidRDefault="0008441C"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 xml:space="preserve">Kırgızistan nüfusunun en büyük kısmı - kırsal kesimde yaşayanlar (%70) - ayrıca ana iş yeri olmaması nedeniyle MHIF’e (ZSSF’a) fon katkısı yapmamaktadırlar. </w:t>
      </w:r>
      <w:r w:rsidR="0010714D" w:rsidRPr="007D507F">
        <w:rPr>
          <w:rFonts w:ascii="Times New Roman" w:hAnsi="Times New Roman" w:cs="Times New Roman"/>
          <w:sz w:val="24"/>
          <w:szCs w:val="24"/>
          <w:lang w:val="tr-TR"/>
        </w:rPr>
        <w:t>Devletin bu kapsamda fon katkısı yapmaması</w:t>
      </w:r>
      <w:r w:rsidRPr="007D507F">
        <w:rPr>
          <w:rFonts w:ascii="Times New Roman" w:hAnsi="Times New Roman" w:cs="Times New Roman"/>
          <w:sz w:val="24"/>
          <w:szCs w:val="24"/>
          <w:lang w:val="tr-TR"/>
        </w:rPr>
        <w:t xml:space="preserve"> büyük bir ihmaldir, çünkü kırsal nüfusun düşük yaşam standardı, şehir sakinlerine kıyasla sağlıkları için ana tehdittir. Meslek okulları öğrencileri ve öğretmenleri de bu risk kategorisine atfedilebilir. Yani, işsizler olarak, kamu fonları pahasına tedavi kaynaklarından mahrum kalmaktadırlar.</w:t>
      </w:r>
    </w:p>
    <w:p w14:paraId="3856C8AA" w14:textId="00E49C8B" w:rsidR="00F84B45" w:rsidRPr="007D507F" w:rsidRDefault="00F84B45" w:rsidP="005E4A12">
      <w:pPr>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 xml:space="preserve">Açıklamayı, gerçek </w:t>
      </w:r>
      <w:r w:rsidR="004E2F84" w:rsidRPr="007D507F">
        <w:rPr>
          <w:rFonts w:ascii="Times New Roman" w:hAnsi="Times New Roman" w:cs="Times New Roman"/>
          <w:color w:val="000000" w:themeColor="text1"/>
          <w:sz w:val="24"/>
          <w:szCs w:val="24"/>
          <w:lang w:val="tr-TR"/>
        </w:rPr>
        <w:t>ZSS</w:t>
      </w:r>
      <w:r w:rsidRPr="007D507F">
        <w:rPr>
          <w:rFonts w:ascii="Times New Roman" w:hAnsi="Times New Roman" w:cs="Times New Roman"/>
          <w:color w:val="000000" w:themeColor="text1"/>
          <w:sz w:val="24"/>
          <w:szCs w:val="24"/>
          <w:lang w:val="tr-TR"/>
        </w:rPr>
        <w:t xml:space="preserve"> kaynaklarının aşırı derecede sınırlandırılmasında buluyoruz. Buna, işveren bordrosundan sigorta primi oranının düşük bir y</w:t>
      </w:r>
      <w:r w:rsidR="00B34492" w:rsidRPr="007D507F">
        <w:rPr>
          <w:rFonts w:ascii="Times New Roman" w:hAnsi="Times New Roman" w:cs="Times New Roman"/>
          <w:color w:val="000000" w:themeColor="text1"/>
          <w:sz w:val="24"/>
          <w:szCs w:val="24"/>
          <w:lang w:val="tr-TR"/>
        </w:rPr>
        <w:t>üzdesi (%2) eklenir.</w:t>
      </w:r>
      <w:r w:rsidR="007101D2" w:rsidRPr="007D507F">
        <w:rPr>
          <w:rFonts w:ascii="Times New Roman" w:hAnsi="Times New Roman" w:cs="Times New Roman"/>
          <w:color w:val="000000" w:themeColor="text1"/>
          <w:sz w:val="24"/>
          <w:szCs w:val="24"/>
          <w:lang w:val="tr-TR"/>
        </w:rPr>
        <w:t xml:space="preserve"> </w:t>
      </w:r>
      <w:r w:rsidR="00B34492" w:rsidRPr="007D507F">
        <w:rPr>
          <w:rFonts w:ascii="Times New Roman" w:hAnsi="Times New Roman" w:cs="Times New Roman"/>
          <w:color w:val="000000" w:themeColor="text1"/>
          <w:sz w:val="24"/>
          <w:szCs w:val="24"/>
          <w:lang w:val="tr-TR"/>
        </w:rPr>
        <w:t>Ulumbekova’</w:t>
      </w:r>
      <w:r w:rsidRPr="007D507F">
        <w:rPr>
          <w:rFonts w:ascii="Times New Roman" w:hAnsi="Times New Roman" w:cs="Times New Roman"/>
          <w:color w:val="000000" w:themeColor="text1"/>
          <w:sz w:val="24"/>
          <w:szCs w:val="24"/>
          <w:lang w:val="tr-TR"/>
        </w:rPr>
        <w:t xml:space="preserve">ya </w:t>
      </w:r>
      <w:r w:rsidR="00B34492" w:rsidRPr="007D507F">
        <w:rPr>
          <w:rFonts w:ascii="Times New Roman" w:hAnsi="Times New Roman" w:cs="Times New Roman"/>
          <w:color w:val="000000" w:themeColor="text1"/>
          <w:sz w:val="24"/>
          <w:szCs w:val="24"/>
          <w:lang w:val="tr-TR"/>
        </w:rPr>
        <w:t xml:space="preserve">(2019) </w:t>
      </w:r>
      <w:r w:rsidRPr="007D507F">
        <w:rPr>
          <w:rFonts w:ascii="Times New Roman" w:hAnsi="Times New Roman" w:cs="Times New Roman"/>
          <w:color w:val="000000" w:themeColor="text1"/>
          <w:sz w:val="24"/>
          <w:szCs w:val="24"/>
          <w:lang w:val="tr-TR"/>
        </w:rPr>
        <w:t>göre</w:t>
      </w:r>
      <w:r w:rsidR="00B34492" w:rsidRPr="007D507F">
        <w:rPr>
          <w:rFonts w:ascii="Times New Roman" w:hAnsi="Times New Roman" w:cs="Times New Roman"/>
          <w:color w:val="000000" w:themeColor="text1"/>
          <w:sz w:val="24"/>
          <w:szCs w:val="24"/>
          <w:lang w:val="tr-TR"/>
        </w:rPr>
        <w:t xml:space="preserve">, </w:t>
      </w:r>
      <w:r w:rsidRPr="007D507F">
        <w:rPr>
          <w:rFonts w:ascii="Times New Roman" w:hAnsi="Times New Roman" w:cs="Times New Roman"/>
          <w:color w:val="000000" w:themeColor="text1"/>
          <w:sz w:val="24"/>
          <w:szCs w:val="24"/>
          <w:lang w:val="tr-TR"/>
        </w:rPr>
        <w:t xml:space="preserve">bu oran </w:t>
      </w:r>
      <w:r w:rsidR="00B34492" w:rsidRPr="007D507F">
        <w:rPr>
          <w:rFonts w:ascii="Times New Roman" w:hAnsi="Times New Roman" w:cs="Times New Roman"/>
          <w:color w:val="000000" w:themeColor="text1"/>
          <w:sz w:val="24"/>
          <w:szCs w:val="24"/>
          <w:lang w:val="tr-TR"/>
        </w:rPr>
        <w:t>Rusya’</w:t>
      </w:r>
      <w:r w:rsidRPr="007D507F">
        <w:rPr>
          <w:rFonts w:ascii="Times New Roman" w:hAnsi="Times New Roman" w:cs="Times New Roman"/>
          <w:color w:val="000000" w:themeColor="text1"/>
          <w:sz w:val="24"/>
          <w:szCs w:val="24"/>
          <w:lang w:val="tr-TR"/>
        </w:rPr>
        <w:t>da çok daha yüksektir - işveren, ücret fonunun</w:t>
      </w:r>
      <w:r w:rsidR="00B34492" w:rsidRPr="007D507F">
        <w:rPr>
          <w:rFonts w:ascii="Times New Roman" w:hAnsi="Times New Roman" w:cs="Times New Roman"/>
          <w:color w:val="000000" w:themeColor="text1"/>
          <w:sz w:val="24"/>
          <w:szCs w:val="24"/>
          <w:lang w:val="tr-TR"/>
        </w:rPr>
        <w:t xml:space="preserve"> % 5,1’</w:t>
      </w:r>
      <w:r w:rsidRPr="007D507F">
        <w:rPr>
          <w:rFonts w:ascii="Times New Roman" w:hAnsi="Times New Roman" w:cs="Times New Roman"/>
          <w:color w:val="000000" w:themeColor="text1"/>
          <w:sz w:val="24"/>
          <w:szCs w:val="24"/>
          <w:lang w:val="tr-TR"/>
        </w:rPr>
        <w:t xml:space="preserve">ine katkıda bulunmaktadır. </w:t>
      </w:r>
      <w:r w:rsidR="00023788" w:rsidRPr="007D507F">
        <w:rPr>
          <w:rFonts w:ascii="Times New Roman" w:hAnsi="Times New Roman" w:cs="Times New Roman"/>
          <w:color w:val="000000" w:themeColor="text1"/>
          <w:sz w:val="24"/>
          <w:szCs w:val="24"/>
          <w:lang w:val="tr-TR"/>
        </w:rPr>
        <w:t xml:space="preserve">ZSS </w:t>
      </w:r>
      <w:r w:rsidRPr="007D507F">
        <w:rPr>
          <w:rFonts w:ascii="Times New Roman" w:hAnsi="Times New Roman" w:cs="Times New Roman"/>
          <w:color w:val="000000" w:themeColor="text1"/>
          <w:sz w:val="24"/>
          <w:szCs w:val="24"/>
          <w:lang w:val="tr-TR"/>
        </w:rPr>
        <w:t>sisteminden alınan fonların kişiselleştirilmiş muhasebesi başlatılırsa ve sigorta hesaplarının şeffaflığı sağlanırsa, ticari yapıların daha eksiksiz bir şekilde kapsanmasını ve daha fazla ilgi görmesini sağlamak mümkündür.</w:t>
      </w:r>
    </w:p>
    <w:p w14:paraId="745CE604" w14:textId="2A314273" w:rsidR="00F84B45" w:rsidRPr="007D507F" w:rsidRDefault="00F84B45" w:rsidP="005E4A12">
      <w:pPr>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Yabancıların zorunlu sigortalan</w:t>
      </w:r>
      <w:r w:rsidR="00B34492" w:rsidRPr="007D507F">
        <w:rPr>
          <w:rFonts w:ascii="Times New Roman" w:hAnsi="Times New Roman" w:cs="Times New Roman"/>
          <w:color w:val="000000" w:themeColor="text1"/>
          <w:sz w:val="24"/>
          <w:szCs w:val="24"/>
          <w:lang w:val="tr-TR"/>
        </w:rPr>
        <w:t>ması yoluyla Kırgız Cumhuriyeti’</w:t>
      </w:r>
      <w:r w:rsidRPr="007D507F">
        <w:rPr>
          <w:rFonts w:ascii="Times New Roman" w:hAnsi="Times New Roman" w:cs="Times New Roman"/>
          <w:color w:val="000000" w:themeColor="text1"/>
          <w:sz w:val="24"/>
          <w:szCs w:val="24"/>
          <w:lang w:val="tr-TR"/>
        </w:rPr>
        <w:t>nde sağlık hizmetlerinin finansman kaynaklarının genişletilmesi mümkündür. Ayrıca, yabancı vatandaşlara sağlanan</w:t>
      </w:r>
      <w:r w:rsidR="004E2F84" w:rsidRPr="007D507F">
        <w:rPr>
          <w:rFonts w:ascii="Times New Roman" w:hAnsi="Times New Roman" w:cs="Times New Roman"/>
          <w:color w:val="000000" w:themeColor="text1"/>
          <w:sz w:val="24"/>
          <w:szCs w:val="24"/>
          <w:lang w:val="tr-TR"/>
        </w:rPr>
        <w:t xml:space="preserve"> </w:t>
      </w:r>
      <w:r w:rsidR="00BB3BD9" w:rsidRPr="007D507F">
        <w:rPr>
          <w:rFonts w:ascii="Times New Roman" w:hAnsi="Times New Roman" w:cs="Times New Roman"/>
          <w:color w:val="000000" w:themeColor="text1"/>
          <w:sz w:val="24"/>
          <w:szCs w:val="24"/>
          <w:lang w:val="tr-TR"/>
        </w:rPr>
        <w:t xml:space="preserve">poliçeler </w:t>
      </w:r>
      <w:r w:rsidRPr="007D507F">
        <w:rPr>
          <w:rFonts w:ascii="Times New Roman" w:hAnsi="Times New Roman" w:cs="Times New Roman"/>
          <w:color w:val="000000" w:themeColor="text1"/>
          <w:sz w:val="24"/>
          <w:szCs w:val="24"/>
          <w:lang w:val="tr-TR"/>
        </w:rPr>
        <w:t xml:space="preserve">aracılığıyla formlardan biri </w:t>
      </w:r>
      <w:r w:rsidR="005F569C" w:rsidRPr="007D507F">
        <w:rPr>
          <w:rFonts w:ascii="Times New Roman" w:hAnsi="Times New Roman" w:cs="Times New Roman"/>
          <w:color w:val="000000" w:themeColor="text1"/>
          <w:sz w:val="24"/>
          <w:szCs w:val="24"/>
          <w:lang w:val="tr-TR"/>
        </w:rPr>
        <w:t>hâlihazırda</w:t>
      </w:r>
      <w:r w:rsidRPr="007D507F">
        <w:rPr>
          <w:rFonts w:ascii="Times New Roman" w:hAnsi="Times New Roman" w:cs="Times New Roman"/>
          <w:color w:val="000000" w:themeColor="text1"/>
          <w:sz w:val="24"/>
          <w:szCs w:val="24"/>
          <w:lang w:val="tr-TR"/>
        </w:rPr>
        <w:t xml:space="preserve"> uygulanmakta olup, sağlanan tıbbi hizmetlerin garantisiz kalitesi nedeniyle aralarında pek popüler değildir.</w:t>
      </w:r>
    </w:p>
    <w:p w14:paraId="2AF11380" w14:textId="77777777" w:rsidR="00B21944" w:rsidRPr="007D507F" w:rsidRDefault="004E2F84" w:rsidP="005E4A12">
      <w:pPr>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ZSSF</w:t>
      </w:r>
      <w:r w:rsidR="00023788" w:rsidRPr="007D507F">
        <w:rPr>
          <w:rFonts w:ascii="Times New Roman" w:hAnsi="Times New Roman" w:cs="Times New Roman"/>
          <w:color w:val="000000" w:themeColor="text1"/>
          <w:sz w:val="24"/>
          <w:szCs w:val="24"/>
          <w:lang w:val="tr-TR"/>
        </w:rPr>
        <w:t>’</w:t>
      </w:r>
      <w:r w:rsidR="00B21944" w:rsidRPr="007D507F">
        <w:rPr>
          <w:rFonts w:ascii="Times New Roman" w:hAnsi="Times New Roman" w:cs="Times New Roman"/>
          <w:color w:val="000000" w:themeColor="text1"/>
          <w:sz w:val="24"/>
          <w:szCs w:val="24"/>
          <w:lang w:val="tr-TR"/>
        </w:rPr>
        <w:t>d</w:t>
      </w:r>
      <w:r w:rsidRPr="007D507F">
        <w:rPr>
          <w:rFonts w:ascii="Times New Roman" w:hAnsi="Times New Roman" w:cs="Times New Roman"/>
          <w:color w:val="000000" w:themeColor="text1"/>
          <w:sz w:val="24"/>
          <w:szCs w:val="24"/>
          <w:lang w:val="tr-TR"/>
        </w:rPr>
        <w:t xml:space="preserve">a bulunmayan </w:t>
      </w:r>
      <w:r w:rsidR="00BB3BD9" w:rsidRPr="007D507F">
        <w:rPr>
          <w:rFonts w:ascii="Times New Roman" w:hAnsi="Times New Roman" w:cs="Times New Roman"/>
          <w:color w:val="000000" w:themeColor="text1"/>
          <w:sz w:val="24"/>
          <w:szCs w:val="24"/>
          <w:lang w:val="tr-TR"/>
        </w:rPr>
        <w:t xml:space="preserve">birikimli </w:t>
      </w:r>
      <w:r w:rsidR="00B21944" w:rsidRPr="007D507F">
        <w:rPr>
          <w:rFonts w:ascii="Times New Roman" w:hAnsi="Times New Roman" w:cs="Times New Roman"/>
          <w:color w:val="000000" w:themeColor="text1"/>
          <w:sz w:val="24"/>
          <w:szCs w:val="24"/>
          <w:lang w:val="tr-TR"/>
        </w:rPr>
        <w:t xml:space="preserve">sistemin açık avantajları vardır. </w:t>
      </w:r>
      <w:r w:rsidRPr="007D507F">
        <w:rPr>
          <w:rFonts w:ascii="Times New Roman" w:hAnsi="Times New Roman" w:cs="Times New Roman"/>
          <w:color w:val="000000" w:themeColor="text1"/>
          <w:sz w:val="24"/>
          <w:szCs w:val="24"/>
          <w:lang w:val="tr-TR"/>
        </w:rPr>
        <w:t>B</w:t>
      </w:r>
      <w:r w:rsidR="00BB3BD9" w:rsidRPr="007D507F">
        <w:rPr>
          <w:rFonts w:ascii="Times New Roman" w:hAnsi="Times New Roman" w:cs="Times New Roman"/>
          <w:color w:val="000000" w:themeColor="text1"/>
          <w:sz w:val="24"/>
          <w:szCs w:val="24"/>
          <w:lang w:val="tr-TR"/>
        </w:rPr>
        <w:t>irikimli sistem</w:t>
      </w:r>
      <w:r w:rsidRPr="007D507F">
        <w:rPr>
          <w:rFonts w:ascii="Times New Roman" w:hAnsi="Times New Roman" w:cs="Times New Roman"/>
          <w:color w:val="000000" w:themeColor="text1"/>
          <w:sz w:val="24"/>
          <w:szCs w:val="24"/>
          <w:lang w:val="tr-TR"/>
        </w:rPr>
        <w:t xml:space="preserve">in </w:t>
      </w:r>
      <w:r w:rsidR="00B21944" w:rsidRPr="007D507F">
        <w:rPr>
          <w:rFonts w:ascii="Times New Roman" w:hAnsi="Times New Roman" w:cs="Times New Roman"/>
          <w:color w:val="000000" w:themeColor="text1"/>
          <w:sz w:val="24"/>
          <w:szCs w:val="24"/>
          <w:lang w:val="tr-TR"/>
        </w:rPr>
        <w:t>sigortalılar arasında</w:t>
      </w:r>
      <w:r w:rsidRPr="007D507F">
        <w:rPr>
          <w:rFonts w:ascii="Times New Roman" w:hAnsi="Times New Roman" w:cs="Times New Roman"/>
          <w:color w:val="000000" w:themeColor="text1"/>
          <w:sz w:val="24"/>
          <w:szCs w:val="24"/>
          <w:lang w:val="tr-TR"/>
        </w:rPr>
        <w:t xml:space="preserve"> </w:t>
      </w:r>
      <w:r w:rsidR="00B21944" w:rsidRPr="007D507F">
        <w:rPr>
          <w:rFonts w:ascii="Times New Roman" w:hAnsi="Times New Roman" w:cs="Times New Roman"/>
          <w:color w:val="000000" w:themeColor="text1"/>
          <w:sz w:val="24"/>
          <w:szCs w:val="24"/>
          <w:lang w:val="tr-TR"/>
        </w:rPr>
        <w:t>yer almak için belirli bir motivasyonu vardır. Yokluğunda, çalışmayan bir kişi sigorta sisteminden çıkar. İşini kaybettiğinde sigortasını da kaybeder.</w:t>
      </w:r>
      <w:r w:rsidR="00EC407A" w:rsidRPr="007D507F">
        <w:rPr>
          <w:rFonts w:ascii="Times New Roman" w:hAnsi="Times New Roman" w:cs="Times New Roman"/>
          <w:color w:val="000000" w:themeColor="text1"/>
          <w:sz w:val="24"/>
          <w:szCs w:val="24"/>
          <w:lang w:val="tr-TR"/>
        </w:rPr>
        <w:t xml:space="preserve"> Bu açıklamalar çerçevesinde</w:t>
      </w:r>
      <w:r w:rsidR="00B21944" w:rsidRPr="007D507F">
        <w:rPr>
          <w:rFonts w:ascii="Times New Roman" w:hAnsi="Times New Roman" w:cs="Times New Roman"/>
          <w:color w:val="000000" w:themeColor="text1"/>
          <w:sz w:val="24"/>
          <w:szCs w:val="24"/>
          <w:lang w:val="tr-TR"/>
        </w:rPr>
        <w:t xml:space="preserve"> </w:t>
      </w:r>
      <w:r w:rsidR="00EC407A" w:rsidRPr="007D507F">
        <w:rPr>
          <w:rFonts w:ascii="Times New Roman" w:hAnsi="Times New Roman" w:cs="Times New Roman"/>
          <w:color w:val="000000" w:themeColor="text1"/>
          <w:sz w:val="24"/>
          <w:szCs w:val="24"/>
          <w:lang w:val="tr-TR"/>
        </w:rPr>
        <w:t>f</w:t>
      </w:r>
      <w:r w:rsidR="00B21944" w:rsidRPr="007D507F">
        <w:rPr>
          <w:rFonts w:ascii="Times New Roman" w:hAnsi="Times New Roman" w:cs="Times New Roman"/>
          <w:color w:val="000000" w:themeColor="text1"/>
          <w:sz w:val="24"/>
          <w:szCs w:val="24"/>
          <w:lang w:val="tr-TR"/>
        </w:rPr>
        <w:t xml:space="preserve">arklı bir sisteme ihtiyacımız </w:t>
      </w:r>
      <w:r w:rsidR="00EC407A" w:rsidRPr="007D507F">
        <w:rPr>
          <w:rFonts w:ascii="Times New Roman" w:hAnsi="Times New Roman" w:cs="Times New Roman"/>
          <w:color w:val="000000" w:themeColor="text1"/>
          <w:sz w:val="24"/>
          <w:szCs w:val="24"/>
          <w:lang w:val="tr-TR"/>
        </w:rPr>
        <w:t>bulunmaktadır. Bu sistem,</w:t>
      </w:r>
      <w:r w:rsidR="00B21944" w:rsidRPr="007D507F">
        <w:rPr>
          <w:rFonts w:ascii="Times New Roman" w:hAnsi="Times New Roman" w:cs="Times New Roman"/>
          <w:color w:val="000000" w:themeColor="text1"/>
          <w:sz w:val="24"/>
          <w:szCs w:val="24"/>
          <w:lang w:val="tr-TR"/>
        </w:rPr>
        <w:t xml:space="preserve"> esnek, farklılaştırılmış, kişinin çalıştığı alanı dikkate alan, sigortalılar için hesapların şeffaflığını ve erişilebilirliğini sağlayan</w:t>
      </w:r>
      <w:r w:rsidR="00EC407A" w:rsidRPr="007D507F">
        <w:rPr>
          <w:rFonts w:ascii="Times New Roman" w:hAnsi="Times New Roman" w:cs="Times New Roman"/>
          <w:color w:val="000000" w:themeColor="text1"/>
          <w:sz w:val="24"/>
          <w:szCs w:val="24"/>
          <w:lang w:val="tr-TR"/>
        </w:rPr>
        <w:t xml:space="preserve"> verileri içeren bir sistem olmalıdır</w:t>
      </w:r>
      <w:r w:rsidR="00B21944" w:rsidRPr="007D507F">
        <w:rPr>
          <w:rFonts w:ascii="Times New Roman" w:hAnsi="Times New Roman" w:cs="Times New Roman"/>
          <w:color w:val="000000" w:themeColor="text1"/>
          <w:sz w:val="24"/>
          <w:szCs w:val="24"/>
          <w:lang w:val="tr-TR"/>
        </w:rPr>
        <w:t>.</w:t>
      </w:r>
    </w:p>
    <w:p w14:paraId="15D432F0" w14:textId="77777777" w:rsidR="00023788" w:rsidRDefault="004A7EDB"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lastRenderedPageBreak/>
        <w:t>Özetle, sağlık sigortası sistemindeki düşük gelir sorununun bütçe-sigorta finansman sisteminin varlığından kaynaklandığını belirtmek gerekir. Bunu çözmek için sağlık hizmetlerinin finansmanında sigortacılık ilkesine odaklanmak ve sigorta hesaplarının şeffaflığını sağlamak gerekmektedir.</w:t>
      </w:r>
    </w:p>
    <w:p w14:paraId="40D892B8" w14:textId="77777777" w:rsidR="007D507F" w:rsidRPr="007D507F" w:rsidRDefault="007D507F" w:rsidP="007D507F">
      <w:pPr>
        <w:spacing w:after="0" w:line="240" w:lineRule="auto"/>
        <w:ind w:firstLine="708"/>
        <w:jc w:val="both"/>
        <w:rPr>
          <w:rFonts w:ascii="Times New Roman" w:hAnsi="Times New Roman" w:cs="Times New Roman"/>
          <w:sz w:val="24"/>
          <w:szCs w:val="24"/>
          <w:lang w:val="tr-TR"/>
        </w:rPr>
      </w:pPr>
    </w:p>
    <w:p w14:paraId="4EC658BE" w14:textId="1D7E4620" w:rsidR="00F84B45" w:rsidRPr="005E4A12" w:rsidRDefault="00F84B45" w:rsidP="005E4A12">
      <w:pPr>
        <w:pStyle w:val="a4"/>
        <w:numPr>
          <w:ilvl w:val="0"/>
          <w:numId w:val="11"/>
        </w:numPr>
        <w:spacing w:after="0" w:line="240" w:lineRule="auto"/>
        <w:ind w:left="567" w:hanging="283"/>
        <w:jc w:val="both"/>
        <w:rPr>
          <w:rFonts w:ascii="Times New Roman" w:hAnsi="Times New Roman" w:cs="Times New Roman"/>
          <w:b/>
          <w:sz w:val="24"/>
          <w:szCs w:val="24"/>
          <w:lang w:val="tr-TR"/>
        </w:rPr>
      </w:pPr>
      <w:r w:rsidRPr="005E4A12">
        <w:rPr>
          <w:rFonts w:ascii="Times New Roman" w:hAnsi="Times New Roman" w:cs="Times New Roman"/>
          <w:b/>
          <w:sz w:val="24"/>
          <w:szCs w:val="24"/>
          <w:lang w:val="tr-TR"/>
        </w:rPr>
        <w:t>Ücretli tıbbi hizmetler</w:t>
      </w:r>
    </w:p>
    <w:p w14:paraId="2A474039" w14:textId="77777777" w:rsidR="00023788" w:rsidRPr="007D507F" w:rsidRDefault="00023788" w:rsidP="007D507F">
      <w:pPr>
        <w:pStyle w:val="a4"/>
        <w:spacing w:after="0" w:line="240" w:lineRule="auto"/>
        <w:ind w:left="757"/>
        <w:jc w:val="both"/>
        <w:rPr>
          <w:rFonts w:ascii="Times New Roman" w:hAnsi="Times New Roman" w:cs="Times New Roman"/>
          <w:b/>
          <w:sz w:val="24"/>
          <w:szCs w:val="24"/>
          <w:lang w:val="tr-TR"/>
        </w:rPr>
      </w:pPr>
    </w:p>
    <w:p w14:paraId="0A77A453" w14:textId="77777777" w:rsidR="006F418B" w:rsidRPr="007D507F" w:rsidRDefault="006F418B"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Ücretli tıbbi hizmetlerin sunulmasıyla gelişen duruma ilişkin bir araştırma, bu sorunun çözümünde iyi düşünülmüş, stratejik olarak belirlenmiş bir programın olma</w:t>
      </w:r>
      <w:r w:rsidR="004E2F84" w:rsidRPr="007D507F">
        <w:rPr>
          <w:rFonts w:ascii="Times New Roman" w:hAnsi="Times New Roman" w:cs="Times New Roman"/>
          <w:sz w:val="24"/>
          <w:szCs w:val="24"/>
          <w:lang w:val="tr-TR"/>
        </w:rPr>
        <w:t xml:space="preserve">dığını göstermektedir. Temel </w:t>
      </w:r>
      <w:r w:rsidR="003E461E" w:rsidRPr="007D507F">
        <w:rPr>
          <w:rFonts w:ascii="Times New Roman" w:hAnsi="Times New Roman" w:cs="Times New Roman"/>
          <w:sz w:val="24"/>
          <w:szCs w:val="24"/>
          <w:lang w:val="tr-TR"/>
        </w:rPr>
        <w:t xml:space="preserve">ZSS </w:t>
      </w:r>
      <w:r w:rsidRPr="007D507F">
        <w:rPr>
          <w:rFonts w:ascii="Times New Roman" w:hAnsi="Times New Roman" w:cs="Times New Roman"/>
          <w:sz w:val="24"/>
          <w:szCs w:val="24"/>
          <w:lang w:val="tr-TR"/>
        </w:rPr>
        <w:t>programı, ücretsiz tedaviye ihtiyaç duyan vatandaş kategorilerinin asgari ihtiyaçlarının yalnızca yarısını (%57) sağladığından, sağlıklarını korumak için kişisel fonlarını harcamak zorunda kalmaktadırlar. Ancak, ücretsiz sağlık hizmetlerinin ücretli hizmetlerle değiştirilmesi herhangi bir organizasyondan yoksun, spontane ve sistematik olmayan bir nitelik taşımaktadır.</w:t>
      </w:r>
    </w:p>
    <w:p w14:paraId="2AE7C0EC" w14:textId="77777777" w:rsidR="006F418B" w:rsidRPr="007D507F" w:rsidRDefault="006F418B"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İşte fiyat listelerindeki durum ortadadır. 2008 yılına ait eski veriler</w:t>
      </w:r>
      <w:r w:rsidR="004E2F84" w:rsidRPr="007D507F">
        <w:rPr>
          <w:rFonts w:ascii="Times New Roman" w:hAnsi="Times New Roman" w:cs="Times New Roman"/>
          <w:sz w:val="24"/>
          <w:szCs w:val="24"/>
          <w:lang w:val="tr-TR"/>
        </w:rPr>
        <w:t xml:space="preserve"> (</w:t>
      </w:r>
      <w:r w:rsidRPr="007D507F">
        <w:rPr>
          <w:rFonts w:ascii="Times New Roman" w:hAnsi="Times New Roman" w:cs="Times New Roman"/>
          <w:sz w:val="24"/>
          <w:szCs w:val="24"/>
          <w:lang w:val="tr-TR"/>
        </w:rPr>
        <w:t>fiyatlar) kullanılmaktadır. Ve hizmet fiyatlarının hazırlık prosedürlerinin maliyetinden daha düşük olduğu ortaya çıktmıştır. Örnekler arasında röntgen hizmetleri ve tam kan sayımı</w:t>
      </w:r>
      <w:r w:rsidR="005A68EB" w:rsidRPr="007D507F">
        <w:rPr>
          <w:rFonts w:ascii="Times New Roman" w:hAnsi="Times New Roman" w:cs="Times New Roman"/>
          <w:sz w:val="24"/>
          <w:szCs w:val="24"/>
          <w:lang w:val="tr-TR"/>
        </w:rPr>
        <w:t xml:space="preserve"> </w:t>
      </w:r>
      <w:r w:rsidRPr="007D507F">
        <w:rPr>
          <w:rFonts w:ascii="Times New Roman" w:hAnsi="Times New Roman" w:cs="Times New Roman"/>
          <w:sz w:val="24"/>
          <w:szCs w:val="24"/>
          <w:lang w:val="tr-TR"/>
        </w:rPr>
        <w:t>sayılab</w:t>
      </w:r>
      <w:r w:rsidR="00BB3BD9" w:rsidRPr="007D507F">
        <w:rPr>
          <w:rFonts w:ascii="Times New Roman" w:hAnsi="Times New Roman" w:cs="Times New Roman"/>
          <w:sz w:val="24"/>
          <w:szCs w:val="24"/>
          <w:lang w:val="tr-TR"/>
        </w:rPr>
        <w:t xml:space="preserve">ilir. Röntgen Bişkek </w:t>
      </w:r>
      <w:r w:rsidR="00960302" w:rsidRPr="007D507F">
        <w:rPr>
          <w:rFonts w:ascii="Times New Roman" w:hAnsi="Times New Roman" w:cs="Times New Roman"/>
          <w:sz w:val="24"/>
          <w:szCs w:val="24"/>
          <w:lang w:val="tr-TR"/>
        </w:rPr>
        <w:t>AHM (aile hekimliği merkezi) №</w:t>
      </w:r>
      <w:r w:rsidR="00BB3BD9" w:rsidRPr="007D507F">
        <w:rPr>
          <w:rFonts w:ascii="Times New Roman" w:hAnsi="Times New Roman" w:cs="Times New Roman"/>
          <w:sz w:val="24"/>
          <w:szCs w:val="24"/>
          <w:lang w:val="tr-TR"/>
        </w:rPr>
        <w:t>12’</w:t>
      </w:r>
      <w:r w:rsidRPr="007D507F">
        <w:rPr>
          <w:rFonts w:ascii="Times New Roman" w:hAnsi="Times New Roman" w:cs="Times New Roman"/>
          <w:sz w:val="24"/>
          <w:szCs w:val="24"/>
          <w:lang w:val="tr-TR"/>
        </w:rPr>
        <w:t xml:space="preserve">de 150 </w:t>
      </w:r>
      <w:r w:rsidR="005A68EB" w:rsidRPr="007D507F">
        <w:rPr>
          <w:rFonts w:ascii="Times New Roman" w:hAnsi="Times New Roman" w:cs="Times New Roman"/>
          <w:sz w:val="24"/>
          <w:szCs w:val="24"/>
          <w:lang w:val="tr-TR"/>
        </w:rPr>
        <w:t>Som</w:t>
      </w:r>
      <w:r w:rsidRPr="007D507F">
        <w:rPr>
          <w:rFonts w:ascii="Times New Roman" w:hAnsi="Times New Roman" w:cs="Times New Roman"/>
          <w:sz w:val="24"/>
          <w:szCs w:val="24"/>
          <w:lang w:val="tr-TR"/>
        </w:rPr>
        <w:t xml:space="preserve">, Yurfa özel muayenehanesinde 2600 </w:t>
      </w:r>
      <w:r w:rsidR="005A68EB" w:rsidRPr="007D507F">
        <w:rPr>
          <w:rFonts w:ascii="Times New Roman" w:hAnsi="Times New Roman" w:cs="Times New Roman"/>
          <w:sz w:val="24"/>
          <w:szCs w:val="24"/>
          <w:lang w:val="tr-TR"/>
        </w:rPr>
        <w:t xml:space="preserve">Som </w:t>
      </w:r>
      <w:r w:rsidRPr="007D507F">
        <w:rPr>
          <w:rFonts w:ascii="Times New Roman" w:hAnsi="Times New Roman" w:cs="Times New Roman"/>
          <w:sz w:val="24"/>
          <w:szCs w:val="24"/>
          <w:lang w:val="tr-TR"/>
        </w:rPr>
        <w:t>şeklinde fiyatlanmaktadır.</w:t>
      </w:r>
    </w:p>
    <w:p w14:paraId="17E0DD20" w14:textId="77777777" w:rsidR="006F418B" w:rsidRPr="007D507F" w:rsidRDefault="006F418B"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Ameliyat olması planlanan hastalara anket uygulanmıştır. Anketlerin analizi, hastaların ortak ödemelerle birlikte, gayri resmi ortak ödemeler yaptığını göstermiştir. Bu tür hastaların yüzdesi %</w:t>
      </w:r>
      <w:r w:rsidR="00BB3BD9" w:rsidRPr="007D507F">
        <w:rPr>
          <w:rFonts w:ascii="Times New Roman" w:hAnsi="Times New Roman" w:cs="Times New Roman"/>
          <w:sz w:val="24"/>
          <w:szCs w:val="24"/>
          <w:lang w:val="tr-TR"/>
        </w:rPr>
        <w:t>26,</w:t>
      </w:r>
      <w:r w:rsidRPr="007D507F">
        <w:rPr>
          <w:rFonts w:ascii="Times New Roman" w:hAnsi="Times New Roman" w:cs="Times New Roman"/>
          <w:sz w:val="24"/>
          <w:szCs w:val="24"/>
          <w:lang w:val="tr-TR"/>
        </w:rPr>
        <w:t xml:space="preserve">9 </w:t>
      </w:r>
      <w:r w:rsidR="00D27836" w:rsidRPr="007D507F">
        <w:rPr>
          <w:rFonts w:ascii="Times New Roman" w:hAnsi="Times New Roman" w:cs="Times New Roman"/>
          <w:sz w:val="24"/>
          <w:szCs w:val="24"/>
          <w:lang w:val="tr-TR"/>
        </w:rPr>
        <w:t xml:space="preserve">idi. Aynı zamanda, birçoğu (%70,2) </w:t>
      </w:r>
      <w:r w:rsidRPr="007D507F">
        <w:rPr>
          <w:rFonts w:ascii="Times New Roman" w:hAnsi="Times New Roman" w:cs="Times New Roman"/>
          <w:sz w:val="24"/>
          <w:szCs w:val="24"/>
          <w:lang w:val="tr-TR"/>
        </w:rPr>
        <w:t>bu ek fonların yasallaştırılması için önerilerde bulunmuştur.</w:t>
      </w:r>
    </w:p>
    <w:p w14:paraId="288FE1BA" w14:textId="0C4DDA8C" w:rsidR="006F418B" w:rsidRPr="007D507F" w:rsidRDefault="006F418B"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Ankete katılanların</w:t>
      </w:r>
      <w:r w:rsidR="00612F99" w:rsidRPr="007D507F">
        <w:rPr>
          <w:rFonts w:ascii="Times New Roman" w:hAnsi="Times New Roman" w:cs="Times New Roman"/>
          <w:sz w:val="24"/>
          <w:szCs w:val="24"/>
          <w:lang w:val="tr-TR"/>
        </w:rPr>
        <w:t xml:space="preserve"> %50’</w:t>
      </w:r>
      <w:r w:rsidRPr="007D507F">
        <w:rPr>
          <w:rFonts w:ascii="Times New Roman" w:hAnsi="Times New Roman" w:cs="Times New Roman"/>
          <w:sz w:val="24"/>
          <w:szCs w:val="24"/>
          <w:lang w:val="tr-TR"/>
        </w:rPr>
        <w:t>sinden fazlası, tedavinin kalitesinin ödemeye bağlı olduğuna inanmaktadırlar. Bu durum,</w:t>
      </w:r>
      <w:r w:rsidR="00215A31" w:rsidRPr="007D507F">
        <w:rPr>
          <w:rFonts w:ascii="Times New Roman" w:hAnsi="Times New Roman" w:cs="Times New Roman"/>
          <w:sz w:val="24"/>
          <w:szCs w:val="24"/>
          <w:lang w:val="tr-TR"/>
        </w:rPr>
        <w:t xml:space="preserve"> t</w:t>
      </w:r>
      <w:r w:rsidRPr="007D507F">
        <w:rPr>
          <w:rFonts w:ascii="Times New Roman" w:hAnsi="Times New Roman" w:cs="Times New Roman"/>
          <w:sz w:val="24"/>
          <w:szCs w:val="24"/>
          <w:lang w:val="tr-TR"/>
        </w:rPr>
        <w:t xml:space="preserve">ıbbi hizmetler için </w:t>
      </w:r>
      <w:r w:rsidR="00215A31" w:rsidRPr="007D507F">
        <w:rPr>
          <w:rFonts w:ascii="Times New Roman" w:hAnsi="Times New Roman" w:cs="Times New Roman"/>
          <w:sz w:val="24"/>
          <w:szCs w:val="24"/>
          <w:lang w:val="tr-TR"/>
        </w:rPr>
        <w:t xml:space="preserve">kasaya </w:t>
      </w:r>
      <w:r w:rsidRPr="007D507F">
        <w:rPr>
          <w:rFonts w:ascii="Times New Roman" w:hAnsi="Times New Roman" w:cs="Times New Roman"/>
          <w:sz w:val="24"/>
          <w:szCs w:val="24"/>
          <w:lang w:val="tr-TR"/>
        </w:rPr>
        <w:t xml:space="preserve">ödenen tutara yapılan yaygın ek ücretleri açıklamaktadır. Uygulanan anket istatistikleri şu şekildedir: </w:t>
      </w:r>
      <w:r w:rsidR="00612F99" w:rsidRPr="007D507F">
        <w:rPr>
          <w:rFonts w:ascii="Times New Roman" w:hAnsi="Times New Roman" w:cs="Times New Roman"/>
          <w:sz w:val="24"/>
          <w:szCs w:val="24"/>
          <w:lang w:val="tr-TR"/>
        </w:rPr>
        <w:t>Ankete katılan hastaların %28,6’</w:t>
      </w:r>
      <w:r w:rsidRPr="007D507F">
        <w:rPr>
          <w:rFonts w:ascii="Times New Roman" w:hAnsi="Times New Roman" w:cs="Times New Roman"/>
          <w:sz w:val="24"/>
          <w:szCs w:val="24"/>
          <w:lang w:val="tr-TR"/>
        </w:rPr>
        <w:t>sı bir doktorun verdiği hizmet için, doğrudan onun eline para öd</w:t>
      </w:r>
      <w:r w:rsidR="00612F99" w:rsidRPr="007D507F">
        <w:rPr>
          <w:rFonts w:ascii="Times New Roman" w:hAnsi="Times New Roman" w:cs="Times New Roman"/>
          <w:sz w:val="24"/>
          <w:szCs w:val="24"/>
          <w:lang w:val="tr-TR"/>
        </w:rPr>
        <w:t xml:space="preserve">endiğini </w:t>
      </w:r>
      <w:r w:rsidRPr="007D507F">
        <w:rPr>
          <w:rFonts w:ascii="Times New Roman" w:hAnsi="Times New Roman" w:cs="Times New Roman"/>
          <w:sz w:val="24"/>
          <w:szCs w:val="24"/>
          <w:lang w:val="tr-TR"/>
        </w:rPr>
        <w:t>ortaya koymaktadır. Tıbbi hizmetler için katkı payı ve resmi ödemenin payı nedir? Bu fonların Tek Öde</w:t>
      </w:r>
      <w:r w:rsidR="005A68EB" w:rsidRPr="007D507F">
        <w:rPr>
          <w:rFonts w:ascii="Times New Roman" w:hAnsi="Times New Roman" w:cs="Times New Roman"/>
          <w:sz w:val="24"/>
          <w:szCs w:val="24"/>
          <w:lang w:val="tr-TR"/>
        </w:rPr>
        <w:t xml:space="preserve">me Sisteminin </w:t>
      </w:r>
      <w:r w:rsidRPr="007D507F">
        <w:rPr>
          <w:rFonts w:ascii="Times New Roman" w:hAnsi="Times New Roman" w:cs="Times New Roman"/>
          <w:sz w:val="24"/>
          <w:szCs w:val="24"/>
          <w:lang w:val="tr-TR"/>
        </w:rPr>
        <w:t>gelirine gittiğini ve yalnızca %1</w:t>
      </w:r>
      <w:r w:rsidR="006F48C5" w:rsidRPr="007D507F">
        <w:rPr>
          <w:rFonts w:ascii="Times New Roman" w:hAnsi="Times New Roman" w:cs="Times New Roman"/>
          <w:sz w:val="24"/>
          <w:szCs w:val="24"/>
          <w:lang w:val="tr-TR"/>
        </w:rPr>
        <w:t xml:space="preserve">0,8 </w:t>
      </w:r>
      <w:r w:rsidR="005A68EB" w:rsidRPr="007D507F">
        <w:rPr>
          <w:rFonts w:ascii="Times New Roman" w:hAnsi="Times New Roman" w:cs="Times New Roman"/>
          <w:sz w:val="24"/>
          <w:szCs w:val="24"/>
          <w:lang w:val="tr-TR"/>
        </w:rPr>
        <w:t xml:space="preserve">tutarında olduğunu unutmamak gerekir. </w:t>
      </w:r>
      <w:r w:rsidRPr="007D507F">
        <w:rPr>
          <w:rFonts w:ascii="Times New Roman" w:hAnsi="Times New Roman" w:cs="Times New Roman"/>
          <w:sz w:val="24"/>
          <w:szCs w:val="24"/>
          <w:lang w:val="tr-TR"/>
        </w:rPr>
        <w:t>Anketten elde edilen sonuçlara göre, p</w:t>
      </w:r>
      <w:r w:rsidRPr="007D507F">
        <w:rPr>
          <w:rFonts w:ascii="Times New Roman" w:hAnsi="Times New Roman" w:cs="Times New Roman"/>
          <w:sz w:val="24"/>
          <w:szCs w:val="24"/>
          <w:lang w:val="en-US"/>
        </w:rPr>
        <w:t xml:space="preserve">ersonelin verilen hizmetler için ana ödemeyi resmi olmayan ödemeler şeklinde aldığı sonucuna </w:t>
      </w:r>
      <w:r w:rsidRPr="007D507F">
        <w:rPr>
          <w:rFonts w:ascii="Times New Roman" w:hAnsi="Times New Roman" w:cs="Times New Roman"/>
          <w:sz w:val="24"/>
          <w:szCs w:val="24"/>
          <w:lang w:val="tr-TR"/>
        </w:rPr>
        <w:t>ulaşılmıştır.</w:t>
      </w:r>
    </w:p>
    <w:p w14:paraId="32D372E4" w14:textId="689EAD45" w:rsidR="006F418B" w:rsidRPr="007D507F" w:rsidRDefault="006F418B"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 xml:space="preserve">Resmi olmayan ödemelere ilişkin görüşümüz ise şu şekildedir. Tıbbi personele gayri resmi bir nakit ödeme kanalı rüşvet olarak kabul edilemez. Özünde bunlar, hizmetin piyasa fiyatını tamamlayan </w:t>
      </w:r>
      <w:r w:rsidR="005A68EB" w:rsidRPr="007D507F">
        <w:rPr>
          <w:rFonts w:ascii="Times New Roman" w:hAnsi="Times New Roman" w:cs="Times New Roman"/>
          <w:sz w:val="24"/>
          <w:szCs w:val="24"/>
          <w:lang w:val="tr-TR"/>
        </w:rPr>
        <w:t>unsurlardır.</w:t>
      </w:r>
      <w:r w:rsidR="0031396D" w:rsidRPr="007D507F">
        <w:rPr>
          <w:rFonts w:ascii="Times New Roman" w:hAnsi="Times New Roman" w:cs="Times New Roman"/>
          <w:sz w:val="24"/>
          <w:szCs w:val="24"/>
          <w:lang w:val="tr-TR"/>
        </w:rPr>
        <w:t xml:space="preserve"> </w:t>
      </w:r>
      <w:r w:rsidRPr="007D507F">
        <w:rPr>
          <w:rFonts w:ascii="Times New Roman" w:hAnsi="Times New Roman" w:cs="Times New Roman"/>
          <w:sz w:val="24"/>
          <w:szCs w:val="24"/>
          <w:lang w:val="tr-TR"/>
        </w:rPr>
        <w:t>Bu nedenle, gayri resmi olarak alınan fonların yasallaştırılmasıyla ilgili soru ortaya çıkmaktadır. Bu kanalı</w:t>
      </w:r>
      <w:r w:rsidR="00B62460" w:rsidRPr="007D507F">
        <w:rPr>
          <w:rFonts w:ascii="Times New Roman" w:hAnsi="Times New Roman" w:cs="Times New Roman"/>
          <w:sz w:val="24"/>
          <w:szCs w:val="24"/>
          <w:lang w:val="tr-TR"/>
        </w:rPr>
        <w:t>n</w:t>
      </w:r>
      <w:r w:rsidRPr="007D507F">
        <w:rPr>
          <w:rFonts w:ascii="Times New Roman" w:hAnsi="Times New Roman" w:cs="Times New Roman"/>
          <w:sz w:val="24"/>
          <w:szCs w:val="24"/>
          <w:lang w:val="tr-TR"/>
        </w:rPr>
        <w:t xml:space="preserve"> kapat</w:t>
      </w:r>
      <w:r w:rsidR="00B21894" w:rsidRPr="007D507F">
        <w:rPr>
          <w:rFonts w:ascii="Times New Roman" w:hAnsi="Times New Roman" w:cs="Times New Roman"/>
          <w:sz w:val="24"/>
          <w:szCs w:val="24"/>
          <w:lang w:val="tr-TR"/>
        </w:rPr>
        <w:t xml:space="preserve">ılmasının mümkün </w:t>
      </w:r>
      <w:r w:rsidR="00B62460" w:rsidRPr="007D507F">
        <w:rPr>
          <w:rFonts w:ascii="Times New Roman" w:hAnsi="Times New Roman" w:cs="Times New Roman"/>
          <w:sz w:val="24"/>
          <w:szCs w:val="24"/>
          <w:lang w:val="tr-TR"/>
        </w:rPr>
        <w:t>olmadığı değerlendir</w:t>
      </w:r>
      <w:r w:rsidR="008C7248" w:rsidRPr="007D507F">
        <w:rPr>
          <w:rFonts w:ascii="Times New Roman" w:hAnsi="Times New Roman" w:cs="Times New Roman"/>
          <w:sz w:val="24"/>
          <w:szCs w:val="24"/>
          <w:lang w:val="tr-TR"/>
        </w:rPr>
        <w:t>i</w:t>
      </w:r>
      <w:r w:rsidR="00B62460" w:rsidRPr="007D507F">
        <w:rPr>
          <w:rFonts w:ascii="Times New Roman" w:hAnsi="Times New Roman" w:cs="Times New Roman"/>
          <w:sz w:val="24"/>
          <w:szCs w:val="24"/>
          <w:lang w:val="tr-TR"/>
        </w:rPr>
        <w:t>ldiğinde</w:t>
      </w:r>
      <w:r w:rsidRPr="007D507F">
        <w:rPr>
          <w:rFonts w:ascii="Times New Roman" w:hAnsi="Times New Roman" w:cs="Times New Roman"/>
          <w:sz w:val="24"/>
          <w:szCs w:val="24"/>
          <w:lang w:val="tr-TR"/>
        </w:rPr>
        <w:t>, yasallaşması ve düzenlenmesi için bir mekanizma geliştir</w:t>
      </w:r>
      <w:r w:rsidR="00B62460" w:rsidRPr="007D507F">
        <w:rPr>
          <w:rFonts w:ascii="Times New Roman" w:hAnsi="Times New Roman" w:cs="Times New Roman"/>
          <w:sz w:val="24"/>
          <w:szCs w:val="24"/>
          <w:lang w:val="tr-TR"/>
        </w:rPr>
        <w:t>ilmesi</w:t>
      </w:r>
      <w:r w:rsidRPr="007D507F">
        <w:rPr>
          <w:rFonts w:ascii="Times New Roman" w:hAnsi="Times New Roman" w:cs="Times New Roman"/>
          <w:sz w:val="24"/>
          <w:szCs w:val="24"/>
          <w:lang w:val="tr-TR"/>
        </w:rPr>
        <w:t xml:space="preserve"> gerek</w:t>
      </w:r>
      <w:r w:rsidR="00B62460" w:rsidRPr="007D507F">
        <w:rPr>
          <w:rFonts w:ascii="Times New Roman" w:hAnsi="Times New Roman" w:cs="Times New Roman"/>
          <w:sz w:val="24"/>
          <w:szCs w:val="24"/>
          <w:lang w:val="tr-TR"/>
        </w:rPr>
        <w:t>mektedir</w:t>
      </w:r>
      <w:r w:rsidR="00B21894" w:rsidRPr="007D507F">
        <w:rPr>
          <w:rFonts w:ascii="Times New Roman" w:hAnsi="Times New Roman" w:cs="Times New Roman"/>
          <w:sz w:val="24"/>
          <w:szCs w:val="24"/>
          <w:lang w:val="tr-TR"/>
        </w:rPr>
        <w:t xml:space="preserve">. </w:t>
      </w:r>
      <w:r w:rsidR="005A68EB" w:rsidRPr="007D507F">
        <w:rPr>
          <w:rFonts w:ascii="Times New Roman" w:hAnsi="Times New Roman" w:cs="Times New Roman"/>
          <w:sz w:val="24"/>
          <w:szCs w:val="24"/>
          <w:lang w:val="tr-TR"/>
        </w:rPr>
        <w:t xml:space="preserve">Mevcut durumda </w:t>
      </w:r>
      <w:r w:rsidRPr="007D507F">
        <w:rPr>
          <w:rFonts w:ascii="Times New Roman" w:hAnsi="Times New Roman" w:cs="Times New Roman"/>
          <w:sz w:val="24"/>
          <w:szCs w:val="24"/>
          <w:lang w:val="tr-TR"/>
        </w:rPr>
        <w:t>bu</w:t>
      </w:r>
      <w:r w:rsidR="005A68EB" w:rsidRPr="007D507F">
        <w:rPr>
          <w:rFonts w:ascii="Times New Roman" w:hAnsi="Times New Roman" w:cs="Times New Roman"/>
          <w:sz w:val="24"/>
          <w:szCs w:val="24"/>
          <w:lang w:val="tr-TR"/>
        </w:rPr>
        <w:t xml:space="preserve"> </w:t>
      </w:r>
      <w:r w:rsidR="00B94DD3" w:rsidRPr="007D507F">
        <w:rPr>
          <w:rFonts w:ascii="Times New Roman" w:hAnsi="Times New Roman" w:cs="Times New Roman"/>
          <w:sz w:val="24"/>
          <w:szCs w:val="24"/>
          <w:lang w:val="tr-TR"/>
        </w:rPr>
        <w:t>fonların girişleri gizli olmakta ve hiç kimse tarafından düzenlen</w:t>
      </w:r>
      <w:r w:rsidR="005A68EB" w:rsidRPr="007D507F">
        <w:rPr>
          <w:rFonts w:ascii="Times New Roman" w:hAnsi="Times New Roman" w:cs="Times New Roman"/>
          <w:sz w:val="24"/>
          <w:szCs w:val="24"/>
          <w:lang w:val="tr-TR"/>
        </w:rPr>
        <w:t>memektedir.</w:t>
      </w:r>
    </w:p>
    <w:p w14:paraId="74EB51E4" w14:textId="1BA7DD06" w:rsidR="00F84B45" w:rsidRPr="007D507F" w:rsidRDefault="00F84B45"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 xml:space="preserve">Ücretli hizmetlerden elde edilen gelirler özel fonları oluşturur. Bu fonlar, tıp kurumunun (hastane veya klinik) kendi fonu olan fonu yenilemelidir. Nesnel olarak, bu fonların amacı, sağlık çalışanlarının ücretlerini artırmanın bir kaynağı olarak </w:t>
      </w:r>
      <w:r w:rsidR="006F418B" w:rsidRPr="007D507F">
        <w:rPr>
          <w:rFonts w:ascii="Times New Roman" w:hAnsi="Times New Roman" w:cs="Times New Roman"/>
          <w:sz w:val="24"/>
          <w:szCs w:val="24"/>
          <w:lang w:val="tr-TR"/>
        </w:rPr>
        <w:t>kullanılmalıdır</w:t>
      </w:r>
      <w:r w:rsidR="007C42A0" w:rsidRPr="007D507F">
        <w:rPr>
          <w:rFonts w:ascii="Times New Roman" w:hAnsi="Times New Roman" w:cs="Times New Roman"/>
          <w:sz w:val="24"/>
          <w:szCs w:val="24"/>
          <w:lang w:val="tr-TR"/>
        </w:rPr>
        <w:t xml:space="preserve">. Bahsedilen </w:t>
      </w:r>
      <w:r w:rsidRPr="007D507F">
        <w:rPr>
          <w:rFonts w:ascii="Times New Roman" w:hAnsi="Times New Roman" w:cs="Times New Roman"/>
          <w:sz w:val="24"/>
          <w:szCs w:val="24"/>
          <w:lang w:val="tr-TR"/>
        </w:rPr>
        <w:t>fonların alınma ve dağıtılma mekanizması dü</w:t>
      </w:r>
      <w:r w:rsidR="006F48C5" w:rsidRPr="007D507F">
        <w:rPr>
          <w:rFonts w:ascii="Times New Roman" w:hAnsi="Times New Roman" w:cs="Times New Roman"/>
          <w:sz w:val="24"/>
          <w:szCs w:val="24"/>
          <w:lang w:val="tr-TR"/>
        </w:rPr>
        <w:t xml:space="preserve">zenlenmediği için kendiliğinden </w:t>
      </w:r>
      <w:r w:rsidRPr="007D507F">
        <w:rPr>
          <w:rFonts w:ascii="Times New Roman" w:hAnsi="Times New Roman" w:cs="Times New Roman"/>
          <w:sz w:val="24"/>
          <w:szCs w:val="24"/>
          <w:lang w:val="tr-TR"/>
        </w:rPr>
        <w:t>ödenmekte ve dağıtılmaktadır.</w:t>
      </w:r>
    </w:p>
    <w:p w14:paraId="02B19975" w14:textId="77777777" w:rsidR="00B07695" w:rsidRPr="00D27836" w:rsidRDefault="00B07695" w:rsidP="00730186">
      <w:pPr>
        <w:spacing w:after="0"/>
        <w:ind w:firstLine="567"/>
        <w:jc w:val="both"/>
        <w:rPr>
          <w:rFonts w:ascii="Times New Roman" w:hAnsi="Times New Roman" w:cs="Times New Roman"/>
          <w:lang w:val="tr-TR"/>
        </w:rPr>
      </w:pPr>
    </w:p>
    <w:p w14:paraId="55BA6ED2" w14:textId="77777777" w:rsidR="000972DC" w:rsidRDefault="000972DC" w:rsidP="00B07695">
      <w:pPr>
        <w:spacing w:after="0"/>
        <w:jc w:val="center"/>
        <w:rPr>
          <w:rFonts w:ascii="Times New Roman" w:hAnsi="Times New Roman" w:cs="Times New Roman"/>
          <w:lang w:val="tr-TR"/>
        </w:rPr>
      </w:pPr>
      <w:r w:rsidRPr="00D27836">
        <w:rPr>
          <w:rFonts w:ascii="Times New Roman" w:hAnsi="Times New Roman" w:cs="Times New Roman"/>
          <w:noProof/>
          <w:lang w:eastAsia="ru-RU"/>
        </w:rPr>
        <w:lastRenderedPageBreak/>
        <w:drawing>
          <wp:inline distT="0" distB="0" distL="0" distR="0" wp14:anchorId="37B754C4" wp14:editId="553BB442">
            <wp:extent cx="4514850" cy="25527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03CC43" w14:textId="77777777" w:rsidR="006F48C5" w:rsidRDefault="006F48C5" w:rsidP="0013783A">
      <w:pPr>
        <w:spacing w:after="0"/>
        <w:jc w:val="center"/>
        <w:rPr>
          <w:rFonts w:ascii="Times New Roman" w:hAnsi="Times New Roman" w:cs="Times New Roman"/>
          <w:b/>
          <w:lang w:val="tr-TR"/>
        </w:rPr>
      </w:pPr>
    </w:p>
    <w:p w14:paraId="6C3A5277" w14:textId="77777777" w:rsidR="00454144" w:rsidRPr="005E4A12" w:rsidRDefault="00454144" w:rsidP="007D507F">
      <w:pPr>
        <w:spacing w:after="0" w:line="240" w:lineRule="auto"/>
        <w:jc w:val="center"/>
        <w:rPr>
          <w:rFonts w:ascii="Times New Roman" w:hAnsi="Times New Roman" w:cs="Times New Roman"/>
          <w:sz w:val="24"/>
          <w:szCs w:val="24"/>
          <w:lang w:val="tr-TR"/>
        </w:rPr>
      </w:pPr>
      <w:r w:rsidRPr="005E4A12">
        <w:rPr>
          <w:rFonts w:ascii="Times New Roman" w:hAnsi="Times New Roman" w:cs="Times New Roman"/>
          <w:b/>
          <w:sz w:val="24"/>
          <w:szCs w:val="24"/>
          <w:lang w:val="tr-TR"/>
        </w:rPr>
        <w:t xml:space="preserve">Grafik </w:t>
      </w:r>
      <w:r w:rsidR="005A68EB" w:rsidRPr="005E4A12">
        <w:rPr>
          <w:rFonts w:ascii="Times New Roman" w:hAnsi="Times New Roman" w:cs="Times New Roman"/>
          <w:b/>
          <w:sz w:val="24"/>
          <w:szCs w:val="24"/>
          <w:lang w:val="tr-TR"/>
        </w:rPr>
        <w:t>3</w:t>
      </w:r>
      <w:r w:rsidRPr="005E4A12">
        <w:rPr>
          <w:rFonts w:ascii="Times New Roman" w:hAnsi="Times New Roman" w:cs="Times New Roman"/>
          <w:b/>
          <w:sz w:val="24"/>
          <w:szCs w:val="24"/>
          <w:lang w:val="tr-TR"/>
        </w:rPr>
        <w:t>.</w:t>
      </w:r>
      <w:r w:rsidRPr="005E4A12">
        <w:rPr>
          <w:rFonts w:ascii="Times New Roman" w:hAnsi="Times New Roman" w:cs="Times New Roman"/>
          <w:sz w:val="24"/>
          <w:szCs w:val="24"/>
          <w:lang w:val="tr-TR"/>
        </w:rPr>
        <w:t xml:space="preserve"> 2019 yılına göre Zorunlu Sağlık Sigortası Fonu Kaynakları</w:t>
      </w:r>
    </w:p>
    <w:p w14:paraId="147A99D1" w14:textId="77777777" w:rsidR="003E461E" w:rsidRDefault="003E461E" w:rsidP="007D507F">
      <w:pPr>
        <w:spacing w:after="0" w:line="240" w:lineRule="auto"/>
        <w:jc w:val="both"/>
        <w:rPr>
          <w:rFonts w:ascii="Times New Roman" w:hAnsi="Times New Roman" w:cs="Times New Roman"/>
          <w:i/>
          <w:lang w:val="tr-TR"/>
        </w:rPr>
      </w:pPr>
      <w:r w:rsidRPr="0013783A">
        <w:rPr>
          <w:rFonts w:ascii="Times New Roman" w:hAnsi="Times New Roman" w:cs="Times New Roman"/>
          <w:b/>
          <w:i/>
          <w:lang w:val="tr-TR"/>
        </w:rPr>
        <w:t>Kaynak:</w:t>
      </w:r>
      <w:r>
        <w:rPr>
          <w:rFonts w:ascii="Times New Roman" w:hAnsi="Times New Roman" w:cs="Times New Roman"/>
          <w:i/>
          <w:lang w:val="tr-TR"/>
        </w:rPr>
        <w:t xml:space="preserve"> Kırgız Cumhuriyeti Zorunlu Sağlık Sıgorta</w:t>
      </w:r>
      <w:r w:rsidR="00880896">
        <w:rPr>
          <w:rFonts w:ascii="Times New Roman" w:hAnsi="Times New Roman" w:cs="Times New Roman"/>
          <w:i/>
          <w:lang w:val="tr-TR"/>
        </w:rPr>
        <w:t xml:space="preserve">sı </w:t>
      </w:r>
      <w:r>
        <w:rPr>
          <w:rFonts w:ascii="Times New Roman" w:hAnsi="Times New Roman" w:cs="Times New Roman"/>
          <w:i/>
          <w:lang w:val="tr-TR"/>
        </w:rPr>
        <w:t xml:space="preserve">Fonu’nun 2019 yılının </w:t>
      </w:r>
      <w:r w:rsidR="0013783A">
        <w:rPr>
          <w:rFonts w:ascii="Times New Roman" w:hAnsi="Times New Roman" w:cs="Times New Roman"/>
          <w:i/>
          <w:lang w:val="tr-TR"/>
        </w:rPr>
        <w:t xml:space="preserve">verilerine göre </w:t>
      </w:r>
      <w:r>
        <w:rPr>
          <w:rFonts w:ascii="Times New Roman" w:hAnsi="Times New Roman" w:cs="Times New Roman"/>
          <w:i/>
          <w:lang w:val="tr-TR"/>
        </w:rPr>
        <w:t>hazırlanmıştır.</w:t>
      </w:r>
    </w:p>
    <w:p w14:paraId="4200A83A" w14:textId="40358C3B" w:rsidR="001122D8" w:rsidRPr="007D507F" w:rsidRDefault="001122D8" w:rsidP="005E4A12">
      <w:pPr>
        <w:spacing w:before="120"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t xml:space="preserve">Başarılı bir operasyon için bir tıbbi ürünün bedelini ödeyebilir, hediye edebilir veya bir miktar para verebilirler. </w:t>
      </w:r>
      <w:r w:rsidR="00D86037" w:rsidRPr="007D507F">
        <w:rPr>
          <w:rFonts w:ascii="Times New Roman" w:hAnsi="Times New Roman" w:cs="Times New Roman"/>
          <w:sz w:val="24"/>
          <w:szCs w:val="24"/>
          <w:lang w:val="tr-TR"/>
        </w:rPr>
        <w:t>Diğer bir deyişle b</w:t>
      </w:r>
      <w:r w:rsidR="006F48C5" w:rsidRPr="007D507F">
        <w:rPr>
          <w:rFonts w:ascii="Times New Roman" w:hAnsi="Times New Roman" w:cs="Times New Roman"/>
          <w:sz w:val="24"/>
          <w:szCs w:val="24"/>
          <w:lang w:val="tr-TR"/>
        </w:rPr>
        <w:t>u ödemelerin tümü</w:t>
      </w:r>
      <w:r w:rsidR="007C42A0" w:rsidRPr="007D507F">
        <w:rPr>
          <w:rFonts w:ascii="Times New Roman" w:hAnsi="Times New Roman" w:cs="Times New Roman"/>
          <w:sz w:val="24"/>
          <w:szCs w:val="24"/>
          <w:lang w:val="tr-TR"/>
        </w:rPr>
        <w:t xml:space="preserve"> </w:t>
      </w:r>
      <w:r w:rsidRPr="007D507F">
        <w:rPr>
          <w:rFonts w:ascii="Times New Roman" w:hAnsi="Times New Roman" w:cs="Times New Roman"/>
          <w:sz w:val="24"/>
          <w:szCs w:val="24"/>
          <w:lang w:val="tr-TR"/>
        </w:rPr>
        <w:t>kasiyer aracılığıyla yapılmaz. Sağladıkları ücretli hizmetler için sağlık kurumlarına ödenen özel fonlardaki büyümeye rağmen, sağlık sistemi bütçesindeki payları küçüktür. Bu artış, Kırgız Cumhuriyeti Sağlık Bakanlığı</w:t>
      </w:r>
      <w:r w:rsidR="00B94DD3" w:rsidRPr="007D507F">
        <w:rPr>
          <w:rFonts w:ascii="Times New Roman" w:hAnsi="Times New Roman" w:cs="Times New Roman"/>
          <w:sz w:val="24"/>
          <w:szCs w:val="24"/>
          <w:lang w:val="tr-TR"/>
        </w:rPr>
        <w:t>’</w:t>
      </w:r>
      <w:r w:rsidRPr="007D507F">
        <w:rPr>
          <w:rFonts w:ascii="Times New Roman" w:hAnsi="Times New Roman" w:cs="Times New Roman"/>
          <w:sz w:val="24"/>
          <w:szCs w:val="24"/>
          <w:lang w:val="tr-TR"/>
        </w:rPr>
        <w:t xml:space="preserve">na göre 2019 yılında %3,57 olarak gerçekleşmiştir. İstatistiki verilerle karşılaştırıldığında, tıbbi hizmetler için yapılan ödemelerde resmi olmayan ödemelerin önemli bir payından </w:t>
      </w:r>
      <w:r w:rsidR="006F48C5" w:rsidRPr="007D507F">
        <w:rPr>
          <w:rFonts w:ascii="Times New Roman" w:hAnsi="Times New Roman" w:cs="Times New Roman"/>
          <w:sz w:val="24"/>
          <w:szCs w:val="24"/>
          <w:lang w:val="tr-TR"/>
        </w:rPr>
        <w:t>bahsedilebilir.</w:t>
      </w:r>
    </w:p>
    <w:p w14:paraId="2E429190" w14:textId="77777777" w:rsidR="00D27836" w:rsidRPr="005E4A12" w:rsidRDefault="00D27836" w:rsidP="005E4A12">
      <w:pPr>
        <w:shd w:val="clear" w:color="auto" w:fill="FFFFFF"/>
        <w:spacing w:before="120" w:after="60" w:line="240" w:lineRule="auto"/>
        <w:ind w:firstLine="567"/>
        <w:rPr>
          <w:rFonts w:ascii="Times New Roman" w:eastAsia="Times New Roman" w:hAnsi="Times New Roman" w:cs="Times New Roman"/>
          <w:sz w:val="24"/>
          <w:szCs w:val="24"/>
          <w:shd w:val="clear" w:color="auto" w:fill="FFFFFF"/>
          <w:lang w:val="tr-TR" w:eastAsia="ru-RU"/>
        </w:rPr>
      </w:pPr>
      <w:r w:rsidRPr="005E4A12">
        <w:rPr>
          <w:rFonts w:ascii="Times New Roman" w:eastAsia="Times New Roman" w:hAnsi="Times New Roman" w:cs="Times New Roman"/>
          <w:b/>
          <w:sz w:val="24"/>
          <w:szCs w:val="24"/>
          <w:shd w:val="clear" w:color="auto" w:fill="FFFFFF"/>
          <w:lang w:val="tr-TR" w:eastAsia="ru-RU"/>
        </w:rPr>
        <w:t xml:space="preserve">Tablo </w:t>
      </w:r>
      <w:r w:rsidR="00B07695" w:rsidRPr="005E4A12">
        <w:rPr>
          <w:rFonts w:ascii="Times New Roman" w:eastAsia="Times New Roman" w:hAnsi="Times New Roman" w:cs="Times New Roman"/>
          <w:b/>
          <w:sz w:val="24"/>
          <w:szCs w:val="24"/>
          <w:shd w:val="clear" w:color="auto" w:fill="FFFFFF"/>
          <w:lang w:val="tr-TR" w:eastAsia="ru-RU"/>
        </w:rPr>
        <w:t>4</w:t>
      </w:r>
      <w:r w:rsidRPr="005E4A12">
        <w:rPr>
          <w:rFonts w:ascii="Times New Roman" w:eastAsia="Times New Roman" w:hAnsi="Times New Roman" w:cs="Times New Roman"/>
          <w:b/>
          <w:sz w:val="24"/>
          <w:szCs w:val="24"/>
          <w:shd w:val="clear" w:color="auto" w:fill="FFFFFF"/>
          <w:lang w:val="tr-TR" w:eastAsia="ru-RU"/>
        </w:rPr>
        <w:t xml:space="preserve">. </w:t>
      </w:r>
      <w:r w:rsidRPr="005E4A12">
        <w:rPr>
          <w:rFonts w:ascii="Times New Roman" w:eastAsia="Times New Roman" w:hAnsi="Times New Roman" w:cs="Times New Roman"/>
          <w:shd w:val="clear" w:color="auto" w:fill="FFFFFF"/>
          <w:lang w:val="tr-TR" w:eastAsia="ru-RU"/>
        </w:rPr>
        <w:t>2009-2019 yılları arasında bölgelere göre katkı payı fonlarının alınması (milyon Som</w:t>
      </w:r>
      <w:r w:rsidRPr="005E4A12">
        <w:rPr>
          <w:rFonts w:ascii="Times New Roman" w:eastAsia="Times New Roman" w:hAnsi="Times New Roman" w:cs="Times New Roman"/>
          <w:sz w:val="24"/>
          <w:szCs w:val="24"/>
          <w:shd w:val="clear" w:color="auto" w:fill="FFFFFF"/>
          <w:lang w:val="tr-TR" w:eastAsia="ru-RU"/>
        </w:rPr>
        <w:t>)</w:t>
      </w:r>
    </w:p>
    <w:tbl>
      <w:tblPr>
        <w:tblStyle w:val="TabloKlavuzu1"/>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1"/>
        <w:gridCol w:w="854"/>
        <w:gridCol w:w="792"/>
        <w:gridCol w:w="59"/>
        <w:gridCol w:w="819"/>
        <w:gridCol w:w="34"/>
        <w:gridCol w:w="840"/>
        <w:gridCol w:w="10"/>
        <w:gridCol w:w="869"/>
        <w:gridCol w:w="875"/>
        <w:gridCol w:w="34"/>
        <w:gridCol w:w="990"/>
        <w:gridCol w:w="873"/>
        <w:gridCol w:w="1141"/>
      </w:tblGrid>
      <w:tr w:rsidR="00D27836" w:rsidRPr="007F3F6C" w14:paraId="25813982" w14:textId="77777777" w:rsidTr="003823F6">
        <w:trPr>
          <w:trHeight w:val="715"/>
        </w:trPr>
        <w:tc>
          <w:tcPr>
            <w:tcW w:w="721" w:type="pct"/>
            <w:tcBorders>
              <w:top w:val="single" w:sz="4" w:space="0" w:color="auto"/>
              <w:bottom w:val="single" w:sz="4" w:space="0" w:color="auto"/>
            </w:tcBorders>
            <w:vAlign w:val="center"/>
          </w:tcPr>
          <w:p w14:paraId="4AD708A5" w14:textId="77777777" w:rsidR="00D27836" w:rsidRPr="007F3F6C" w:rsidRDefault="00D27836" w:rsidP="003823F6">
            <w:pPr>
              <w:rPr>
                <w:rFonts w:ascii="Times New Roman" w:hAnsi="Times New Roman" w:cs="Times New Roman"/>
                <w:b/>
                <w:szCs w:val="20"/>
              </w:rPr>
            </w:pPr>
            <w:r w:rsidRPr="00CF63C5">
              <w:rPr>
                <w:rFonts w:ascii="Times New Roman" w:hAnsi="Times New Roman" w:cs="Times New Roman"/>
                <w:b/>
                <w:szCs w:val="20"/>
              </w:rPr>
              <w:t>Bölge</w:t>
            </w:r>
          </w:p>
        </w:tc>
        <w:tc>
          <w:tcPr>
            <w:tcW w:w="446" w:type="pct"/>
            <w:tcBorders>
              <w:top w:val="single" w:sz="4" w:space="0" w:color="auto"/>
              <w:bottom w:val="single" w:sz="4" w:space="0" w:color="auto"/>
            </w:tcBorders>
            <w:vAlign w:val="center"/>
          </w:tcPr>
          <w:p w14:paraId="367378C9" w14:textId="77777777" w:rsidR="00D27836" w:rsidRPr="007F3F6C" w:rsidRDefault="00D27836" w:rsidP="003823F6">
            <w:pPr>
              <w:rPr>
                <w:rFonts w:ascii="Times New Roman" w:hAnsi="Times New Roman" w:cs="Times New Roman"/>
                <w:b/>
                <w:bCs/>
                <w:szCs w:val="20"/>
              </w:rPr>
            </w:pPr>
            <w:r w:rsidRPr="007F3F6C">
              <w:rPr>
                <w:rFonts w:ascii="Times New Roman" w:hAnsi="Times New Roman" w:cs="Times New Roman"/>
                <w:b/>
                <w:bCs/>
                <w:szCs w:val="20"/>
              </w:rPr>
              <w:t xml:space="preserve">2009 </w:t>
            </w:r>
          </w:p>
        </w:tc>
        <w:tc>
          <w:tcPr>
            <w:tcW w:w="414" w:type="pct"/>
            <w:tcBorders>
              <w:top w:val="single" w:sz="4" w:space="0" w:color="auto"/>
              <w:bottom w:val="single" w:sz="4" w:space="0" w:color="auto"/>
            </w:tcBorders>
            <w:vAlign w:val="center"/>
          </w:tcPr>
          <w:p w14:paraId="06ED7E81" w14:textId="77777777" w:rsidR="00D27836" w:rsidRPr="007F3F6C" w:rsidRDefault="00D27836" w:rsidP="003823F6">
            <w:pPr>
              <w:rPr>
                <w:rFonts w:ascii="Times New Roman" w:hAnsi="Times New Roman" w:cs="Times New Roman"/>
                <w:b/>
                <w:bCs/>
                <w:szCs w:val="20"/>
              </w:rPr>
            </w:pPr>
            <w:r w:rsidRPr="007F3F6C">
              <w:rPr>
                <w:rFonts w:ascii="Times New Roman" w:hAnsi="Times New Roman" w:cs="Times New Roman"/>
                <w:b/>
                <w:bCs/>
                <w:szCs w:val="20"/>
              </w:rPr>
              <w:t xml:space="preserve">2010 </w:t>
            </w:r>
          </w:p>
        </w:tc>
        <w:tc>
          <w:tcPr>
            <w:tcW w:w="459" w:type="pct"/>
            <w:gridSpan w:val="2"/>
            <w:tcBorders>
              <w:top w:val="single" w:sz="4" w:space="0" w:color="auto"/>
              <w:bottom w:val="single" w:sz="4" w:space="0" w:color="auto"/>
            </w:tcBorders>
            <w:vAlign w:val="center"/>
          </w:tcPr>
          <w:p w14:paraId="601AD947" w14:textId="77777777" w:rsidR="00D27836" w:rsidRPr="007F3F6C" w:rsidRDefault="00D27836" w:rsidP="003823F6">
            <w:pPr>
              <w:rPr>
                <w:rFonts w:ascii="Times New Roman" w:hAnsi="Times New Roman" w:cs="Times New Roman"/>
                <w:b/>
                <w:bCs/>
                <w:szCs w:val="20"/>
              </w:rPr>
            </w:pPr>
            <w:r w:rsidRPr="007F3F6C">
              <w:rPr>
                <w:rFonts w:ascii="Times New Roman" w:hAnsi="Times New Roman" w:cs="Times New Roman"/>
                <w:b/>
                <w:bCs/>
                <w:szCs w:val="20"/>
              </w:rPr>
              <w:t xml:space="preserve">2011 </w:t>
            </w:r>
          </w:p>
        </w:tc>
        <w:tc>
          <w:tcPr>
            <w:tcW w:w="457" w:type="pct"/>
            <w:gridSpan w:val="2"/>
            <w:tcBorders>
              <w:top w:val="single" w:sz="4" w:space="0" w:color="auto"/>
              <w:bottom w:val="single" w:sz="4" w:space="0" w:color="auto"/>
            </w:tcBorders>
            <w:vAlign w:val="center"/>
          </w:tcPr>
          <w:p w14:paraId="010E5E66" w14:textId="77777777" w:rsidR="00D27836" w:rsidRPr="007F3F6C" w:rsidRDefault="00D27836" w:rsidP="003823F6">
            <w:pPr>
              <w:rPr>
                <w:rFonts w:ascii="Times New Roman" w:hAnsi="Times New Roman" w:cs="Times New Roman"/>
                <w:b/>
                <w:bCs/>
                <w:szCs w:val="20"/>
              </w:rPr>
            </w:pPr>
            <w:r w:rsidRPr="007F3F6C">
              <w:rPr>
                <w:rFonts w:ascii="Times New Roman" w:hAnsi="Times New Roman" w:cs="Times New Roman"/>
                <w:b/>
                <w:bCs/>
                <w:szCs w:val="20"/>
              </w:rPr>
              <w:t xml:space="preserve">2012 </w:t>
            </w:r>
          </w:p>
        </w:tc>
        <w:tc>
          <w:tcPr>
            <w:tcW w:w="459" w:type="pct"/>
            <w:gridSpan w:val="2"/>
            <w:tcBorders>
              <w:top w:val="single" w:sz="4" w:space="0" w:color="auto"/>
              <w:bottom w:val="single" w:sz="4" w:space="0" w:color="auto"/>
            </w:tcBorders>
            <w:vAlign w:val="center"/>
          </w:tcPr>
          <w:p w14:paraId="1F482E39" w14:textId="77777777" w:rsidR="00D27836" w:rsidRPr="007F3F6C" w:rsidRDefault="00D27836" w:rsidP="003823F6">
            <w:pPr>
              <w:rPr>
                <w:rFonts w:ascii="Times New Roman" w:hAnsi="Times New Roman" w:cs="Times New Roman"/>
                <w:b/>
                <w:bCs/>
                <w:szCs w:val="20"/>
              </w:rPr>
            </w:pPr>
            <w:r w:rsidRPr="007F3F6C">
              <w:rPr>
                <w:rFonts w:ascii="Times New Roman" w:hAnsi="Times New Roman" w:cs="Times New Roman"/>
                <w:b/>
                <w:bCs/>
                <w:szCs w:val="20"/>
              </w:rPr>
              <w:t xml:space="preserve">2013 </w:t>
            </w:r>
          </w:p>
        </w:tc>
        <w:tc>
          <w:tcPr>
            <w:tcW w:w="457" w:type="pct"/>
            <w:tcBorders>
              <w:top w:val="single" w:sz="4" w:space="0" w:color="auto"/>
              <w:bottom w:val="single" w:sz="4" w:space="0" w:color="auto"/>
            </w:tcBorders>
            <w:vAlign w:val="center"/>
          </w:tcPr>
          <w:p w14:paraId="2F21F8E8" w14:textId="77777777" w:rsidR="00D27836" w:rsidRPr="007F3F6C" w:rsidRDefault="00D27836" w:rsidP="003823F6">
            <w:pPr>
              <w:rPr>
                <w:rFonts w:ascii="Times New Roman" w:hAnsi="Times New Roman" w:cs="Times New Roman"/>
                <w:b/>
                <w:bCs/>
                <w:szCs w:val="20"/>
              </w:rPr>
            </w:pPr>
            <w:r w:rsidRPr="007F3F6C">
              <w:rPr>
                <w:rFonts w:ascii="Times New Roman" w:hAnsi="Times New Roman" w:cs="Times New Roman"/>
                <w:b/>
                <w:bCs/>
                <w:szCs w:val="20"/>
              </w:rPr>
              <w:t xml:space="preserve">2014 </w:t>
            </w:r>
          </w:p>
        </w:tc>
        <w:tc>
          <w:tcPr>
            <w:tcW w:w="535" w:type="pct"/>
            <w:gridSpan w:val="2"/>
            <w:tcBorders>
              <w:top w:val="single" w:sz="4" w:space="0" w:color="auto"/>
              <w:bottom w:val="single" w:sz="4" w:space="0" w:color="auto"/>
            </w:tcBorders>
            <w:vAlign w:val="center"/>
          </w:tcPr>
          <w:p w14:paraId="4556A41A" w14:textId="77777777" w:rsidR="00D27836" w:rsidRPr="007F3F6C" w:rsidRDefault="00D27836" w:rsidP="003823F6">
            <w:pPr>
              <w:rPr>
                <w:rFonts w:ascii="Times New Roman" w:hAnsi="Times New Roman" w:cs="Times New Roman"/>
                <w:b/>
                <w:bCs/>
                <w:szCs w:val="20"/>
              </w:rPr>
            </w:pPr>
            <w:r w:rsidRPr="007F3F6C">
              <w:rPr>
                <w:rFonts w:ascii="Times New Roman" w:hAnsi="Times New Roman" w:cs="Times New Roman"/>
                <w:b/>
                <w:bCs/>
                <w:szCs w:val="20"/>
              </w:rPr>
              <w:t xml:space="preserve">2015 </w:t>
            </w:r>
          </w:p>
        </w:tc>
        <w:tc>
          <w:tcPr>
            <w:tcW w:w="456" w:type="pct"/>
            <w:tcBorders>
              <w:top w:val="single" w:sz="4" w:space="0" w:color="auto"/>
              <w:bottom w:val="single" w:sz="4" w:space="0" w:color="auto"/>
            </w:tcBorders>
            <w:vAlign w:val="center"/>
          </w:tcPr>
          <w:p w14:paraId="27E2440A" w14:textId="77777777" w:rsidR="00D27836" w:rsidRPr="007F3F6C" w:rsidRDefault="00D27836" w:rsidP="003823F6">
            <w:pPr>
              <w:rPr>
                <w:rFonts w:ascii="Times New Roman" w:hAnsi="Times New Roman" w:cs="Times New Roman"/>
                <w:b/>
                <w:bCs/>
                <w:szCs w:val="20"/>
              </w:rPr>
            </w:pPr>
            <w:r w:rsidRPr="007F3F6C">
              <w:rPr>
                <w:rFonts w:ascii="Times New Roman" w:hAnsi="Times New Roman" w:cs="Times New Roman"/>
                <w:b/>
                <w:bCs/>
                <w:szCs w:val="20"/>
              </w:rPr>
              <w:t xml:space="preserve">2019 </w:t>
            </w:r>
          </w:p>
        </w:tc>
        <w:tc>
          <w:tcPr>
            <w:tcW w:w="596" w:type="pct"/>
            <w:tcBorders>
              <w:top w:val="single" w:sz="4" w:space="0" w:color="auto"/>
              <w:bottom w:val="single" w:sz="4" w:space="0" w:color="auto"/>
            </w:tcBorders>
            <w:vAlign w:val="center"/>
          </w:tcPr>
          <w:p w14:paraId="2E58F379" w14:textId="77777777" w:rsidR="00D27836" w:rsidRPr="000A05F0" w:rsidRDefault="00D27836" w:rsidP="003823F6">
            <w:pPr>
              <w:rPr>
                <w:rFonts w:ascii="Times New Roman" w:hAnsi="Times New Roman" w:cs="Times New Roman"/>
                <w:b/>
                <w:szCs w:val="20"/>
                <w:lang w:val="tr-TR"/>
              </w:rPr>
            </w:pPr>
            <w:r w:rsidRPr="00151839">
              <w:rPr>
                <w:rFonts w:ascii="Times New Roman" w:hAnsi="Times New Roman" w:cs="Times New Roman"/>
                <w:b/>
                <w:szCs w:val="20"/>
              </w:rPr>
              <w:t>2019</w:t>
            </w:r>
            <w:r w:rsidRPr="00151839">
              <w:rPr>
                <w:rFonts w:ascii="Times New Roman" w:hAnsi="Times New Roman" w:cs="Times New Roman"/>
                <w:b/>
                <w:szCs w:val="20"/>
                <w:lang w:val="tr-TR"/>
              </w:rPr>
              <w:t xml:space="preserve"> y. 2009 y. göre</w:t>
            </w:r>
            <w:r w:rsidRPr="00151839">
              <w:rPr>
                <w:rFonts w:ascii="Times New Roman" w:hAnsi="Times New Roman" w:cs="Times New Roman"/>
                <w:b/>
                <w:szCs w:val="20"/>
              </w:rPr>
              <w:t xml:space="preserve"> %</w:t>
            </w:r>
            <w:r w:rsidRPr="00151839">
              <w:rPr>
                <w:rFonts w:ascii="Times New Roman" w:hAnsi="Times New Roman" w:cs="Times New Roman"/>
                <w:b/>
                <w:szCs w:val="20"/>
                <w:lang w:val="tr-TR"/>
              </w:rPr>
              <w:t xml:space="preserve"> </w:t>
            </w:r>
            <w:r w:rsidRPr="00151839">
              <w:rPr>
                <w:rFonts w:ascii="Times New Roman" w:hAnsi="Times New Roman" w:cs="Times New Roman"/>
                <w:b/>
                <w:szCs w:val="20"/>
              </w:rPr>
              <w:t xml:space="preserve"> </w:t>
            </w:r>
            <w:r>
              <w:rPr>
                <w:rFonts w:ascii="Times New Roman" w:hAnsi="Times New Roman" w:cs="Times New Roman"/>
                <w:b/>
                <w:szCs w:val="20"/>
                <w:lang w:val="tr-TR"/>
              </w:rPr>
              <w:t>değişim</w:t>
            </w:r>
          </w:p>
        </w:tc>
      </w:tr>
      <w:tr w:rsidR="00D27836" w:rsidRPr="007F3F6C" w14:paraId="4CAFF9BF" w14:textId="77777777" w:rsidTr="003823F6">
        <w:trPr>
          <w:trHeight w:val="371"/>
        </w:trPr>
        <w:tc>
          <w:tcPr>
            <w:tcW w:w="721" w:type="pct"/>
            <w:tcBorders>
              <w:top w:val="single" w:sz="4" w:space="0" w:color="auto"/>
            </w:tcBorders>
            <w:vAlign w:val="center"/>
          </w:tcPr>
          <w:p w14:paraId="6987EDD1" w14:textId="77777777" w:rsidR="00D27836" w:rsidRPr="00CF63C5" w:rsidRDefault="00D27836" w:rsidP="003823F6">
            <w:pPr>
              <w:rPr>
                <w:rFonts w:ascii="Times New Roman" w:hAnsi="Times New Roman" w:cs="Times New Roman"/>
                <w:szCs w:val="20"/>
                <w:lang w:val="tr-TR"/>
              </w:rPr>
            </w:pPr>
            <w:r>
              <w:rPr>
                <w:rFonts w:ascii="Times New Roman" w:hAnsi="Times New Roman" w:cs="Times New Roman"/>
                <w:szCs w:val="20"/>
                <w:lang w:val="tr-TR"/>
              </w:rPr>
              <w:t>Bişkek ş.</w:t>
            </w:r>
          </w:p>
        </w:tc>
        <w:tc>
          <w:tcPr>
            <w:tcW w:w="446" w:type="pct"/>
            <w:tcBorders>
              <w:top w:val="single" w:sz="4" w:space="0" w:color="auto"/>
            </w:tcBorders>
            <w:vAlign w:val="center"/>
          </w:tcPr>
          <w:p w14:paraId="1EBB509B"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62,4</w:t>
            </w:r>
          </w:p>
        </w:tc>
        <w:tc>
          <w:tcPr>
            <w:tcW w:w="414" w:type="pct"/>
            <w:tcBorders>
              <w:top w:val="single" w:sz="4" w:space="0" w:color="auto"/>
            </w:tcBorders>
            <w:vAlign w:val="center"/>
          </w:tcPr>
          <w:p w14:paraId="13101072" w14:textId="301A43E8" w:rsidR="00D27836" w:rsidRPr="007F3F6C" w:rsidRDefault="00296224" w:rsidP="003823F6">
            <w:pPr>
              <w:rPr>
                <w:rFonts w:ascii="Times New Roman" w:hAnsi="Times New Roman" w:cs="Times New Roman"/>
                <w:szCs w:val="20"/>
              </w:rPr>
            </w:pPr>
            <w:r>
              <w:rPr>
                <w:rFonts w:ascii="Times New Roman" w:hAnsi="Times New Roman" w:cs="Times New Roman"/>
                <w:szCs w:val="20"/>
              </w:rPr>
              <w:t>89</w:t>
            </w:r>
            <w:r>
              <w:rPr>
                <w:rFonts w:ascii="Times New Roman" w:hAnsi="Times New Roman" w:cs="Times New Roman"/>
                <w:szCs w:val="20"/>
                <w:lang w:val="tr-TR"/>
              </w:rPr>
              <w:t>,</w:t>
            </w:r>
            <w:r w:rsidR="00D27836" w:rsidRPr="007F3F6C">
              <w:rPr>
                <w:rFonts w:ascii="Times New Roman" w:hAnsi="Times New Roman" w:cs="Times New Roman"/>
                <w:szCs w:val="20"/>
              </w:rPr>
              <w:t>5</w:t>
            </w:r>
          </w:p>
        </w:tc>
        <w:tc>
          <w:tcPr>
            <w:tcW w:w="459" w:type="pct"/>
            <w:gridSpan w:val="2"/>
            <w:tcBorders>
              <w:top w:val="single" w:sz="4" w:space="0" w:color="auto"/>
            </w:tcBorders>
            <w:vAlign w:val="center"/>
          </w:tcPr>
          <w:p w14:paraId="6A53997D" w14:textId="498E19B4" w:rsidR="00D27836" w:rsidRPr="007F3F6C" w:rsidRDefault="00296224" w:rsidP="003823F6">
            <w:pPr>
              <w:rPr>
                <w:rFonts w:ascii="Times New Roman" w:hAnsi="Times New Roman" w:cs="Times New Roman"/>
                <w:szCs w:val="20"/>
              </w:rPr>
            </w:pPr>
            <w:r>
              <w:rPr>
                <w:rFonts w:ascii="Times New Roman" w:hAnsi="Times New Roman" w:cs="Times New Roman"/>
                <w:szCs w:val="20"/>
              </w:rPr>
              <w:t>95</w:t>
            </w:r>
            <w:r>
              <w:rPr>
                <w:rFonts w:ascii="Times New Roman" w:hAnsi="Times New Roman" w:cs="Times New Roman"/>
                <w:szCs w:val="20"/>
                <w:lang w:val="tr-TR"/>
              </w:rPr>
              <w:t>,</w:t>
            </w:r>
            <w:r w:rsidR="00D27836" w:rsidRPr="007F3F6C">
              <w:rPr>
                <w:rFonts w:ascii="Times New Roman" w:hAnsi="Times New Roman" w:cs="Times New Roman"/>
                <w:szCs w:val="20"/>
              </w:rPr>
              <w:t>6</w:t>
            </w:r>
          </w:p>
        </w:tc>
        <w:tc>
          <w:tcPr>
            <w:tcW w:w="457" w:type="pct"/>
            <w:gridSpan w:val="2"/>
            <w:tcBorders>
              <w:top w:val="single" w:sz="4" w:space="0" w:color="auto"/>
            </w:tcBorders>
            <w:vAlign w:val="center"/>
          </w:tcPr>
          <w:p w14:paraId="24343378" w14:textId="3A0B6329" w:rsidR="00D27836" w:rsidRPr="007F3F6C" w:rsidRDefault="00296224" w:rsidP="003823F6">
            <w:pPr>
              <w:rPr>
                <w:rFonts w:ascii="Times New Roman" w:hAnsi="Times New Roman" w:cs="Times New Roman"/>
                <w:szCs w:val="20"/>
              </w:rPr>
            </w:pPr>
            <w:r>
              <w:rPr>
                <w:rFonts w:ascii="Times New Roman" w:hAnsi="Times New Roman" w:cs="Times New Roman"/>
                <w:szCs w:val="20"/>
              </w:rPr>
              <w:t>121</w:t>
            </w:r>
            <w:r>
              <w:rPr>
                <w:rFonts w:ascii="Times New Roman" w:hAnsi="Times New Roman" w:cs="Times New Roman"/>
                <w:szCs w:val="20"/>
                <w:lang w:val="tr-TR"/>
              </w:rPr>
              <w:t>,</w:t>
            </w:r>
            <w:r w:rsidR="00D27836" w:rsidRPr="007F3F6C">
              <w:rPr>
                <w:rFonts w:ascii="Times New Roman" w:hAnsi="Times New Roman" w:cs="Times New Roman"/>
                <w:szCs w:val="20"/>
              </w:rPr>
              <w:t>6</w:t>
            </w:r>
          </w:p>
        </w:tc>
        <w:tc>
          <w:tcPr>
            <w:tcW w:w="459" w:type="pct"/>
            <w:gridSpan w:val="2"/>
            <w:tcBorders>
              <w:top w:val="single" w:sz="4" w:space="0" w:color="auto"/>
            </w:tcBorders>
            <w:vAlign w:val="center"/>
          </w:tcPr>
          <w:p w14:paraId="01A73B05"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156,9</w:t>
            </w:r>
          </w:p>
        </w:tc>
        <w:tc>
          <w:tcPr>
            <w:tcW w:w="457" w:type="pct"/>
            <w:tcBorders>
              <w:top w:val="single" w:sz="4" w:space="0" w:color="auto"/>
            </w:tcBorders>
            <w:vAlign w:val="center"/>
          </w:tcPr>
          <w:p w14:paraId="078FD9AE"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215,1</w:t>
            </w:r>
          </w:p>
        </w:tc>
        <w:tc>
          <w:tcPr>
            <w:tcW w:w="535" w:type="pct"/>
            <w:gridSpan w:val="2"/>
            <w:tcBorders>
              <w:top w:val="single" w:sz="4" w:space="0" w:color="auto"/>
            </w:tcBorders>
            <w:vAlign w:val="center"/>
          </w:tcPr>
          <w:p w14:paraId="349E97CB"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155,9</w:t>
            </w:r>
          </w:p>
        </w:tc>
        <w:tc>
          <w:tcPr>
            <w:tcW w:w="456" w:type="pct"/>
            <w:tcBorders>
              <w:top w:val="single" w:sz="4" w:space="0" w:color="auto"/>
            </w:tcBorders>
            <w:vAlign w:val="center"/>
          </w:tcPr>
          <w:p w14:paraId="433212D6"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180,6</w:t>
            </w:r>
          </w:p>
        </w:tc>
        <w:tc>
          <w:tcPr>
            <w:tcW w:w="596" w:type="pct"/>
            <w:tcBorders>
              <w:top w:val="single" w:sz="4" w:space="0" w:color="auto"/>
            </w:tcBorders>
            <w:vAlign w:val="center"/>
          </w:tcPr>
          <w:p w14:paraId="730973E4"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289,4</w:t>
            </w:r>
          </w:p>
        </w:tc>
      </w:tr>
      <w:tr w:rsidR="00D27836" w:rsidRPr="007F3F6C" w14:paraId="0BFBD7A3" w14:textId="77777777" w:rsidTr="003823F6">
        <w:trPr>
          <w:trHeight w:val="372"/>
        </w:trPr>
        <w:tc>
          <w:tcPr>
            <w:tcW w:w="5000" w:type="pct"/>
            <w:gridSpan w:val="14"/>
            <w:vAlign w:val="center"/>
          </w:tcPr>
          <w:p w14:paraId="160D0169" w14:textId="77777777" w:rsidR="00D27836" w:rsidRPr="00CF63C5" w:rsidRDefault="00D27836" w:rsidP="003823F6">
            <w:pPr>
              <w:rPr>
                <w:rFonts w:ascii="Times New Roman" w:hAnsi="Times New Roman" w:cs="Times New Roman"/>
                <w:szCs w:val="20"/>
                <w:lang w:val="tr-TR"/>
              </w:rPr>
            </w:pPr>
            <w:r>
              <w:rPr>
                <w:rFonts w:ascii="Times New Roman" w:hAnsi="Times New Roman" w:cs="Times New Roman"/>
                <w:szCs w:val="20"/>
                <w:lang w:val="tr-TR"/>
              </w:rPr>
              <w:t>Bölgeler:</w:t>
            </w:r>
          </w:p>
        </w:tc>
      </w:tr>
      <w:tr w:rsidR="00D27836" w:rsidRPr="007F3F6C" w14:paraId="220DB4F9" w14:textId="77777777" w:rsidTr="003823F6">
        <w:trPr>
          <w:trHeight w:val="340"/>
        </w:trPr>
        <w:tc>
          <w:tcPr>
            <w:tcW w:w="721" w:type="pct"/>
            <w:vAlign w:val="center"/>
          </w:tcPr>
          <w:p w14:paraId="578C4E6C" w14:textId="77777777" w:rsidR="00D27836" w:rsidRPr="00CF63C5" w:rsidRDefault="00D27836" w:rsidP="003823F6">
            <w:pPr>
              <w:rPr>
                <w:rFonts w:ascii="Times New Roman" w:hAnsi="Times New Roman" w:cs="Times New Roman"/>
                <w:szCs w:val="20"/>
                <w:lang w:val="tr-TR"/>
              </w:rPr>
            </w:pPr>
            <w:r>
              <w:rPr>
                <w:rFonts w:ascii="Times New Roman" w:hAnsi="Times New Roman" w:cs="Times New Roman"/>
                <w:szCs w:val="20"/>
                <w:lang w:val="tr-TR"/>
              </w:rPr>
              <w:t>Çuy</w:t>
            </w:r>
          </w:p>
        </w:tc>
        <w:tc>
          <w:tcPr>
            <w:tcW w:w="446" w:type="pct"/>
            <w:vAlign w:val="center"/>
          </w:tcPr>
          <w:p w14:paraId="3CA966A4"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22,3</w:t>
            </w:r>
          </w:p>
        </w:tc>
        <w:tc>
          <w:tcPr>
            <w:tcW w:w="445" w:type="pct"/>
            <w:gridSpan w:val="2"/>
            <w:vAlign w:val="center"/>
          </w:tcPr>
          <w:p w14:paraId="49D38083" w14:textId="5B75979F"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27</w:t>
            </w:r>
            <w:r w:rsidR="00296224">
              <w:rPr>
                <w:rFonts w:ascii="Times New Roman" w:hAnsi="Times New Roman" w:cs="Times New Roman"/>
                <w:szCs w:val="20"/>
                <w:lang w:val="tr-TR"/>
              </w:rPr>
              <w:t>,</w:t>
            </w:r>
            <w:r w:rsidRPr="007F3F6C">
              <w:rPr>
                <w:rFonts w:ascii="Times New Roman" w:hAnsi="Times New Roman" w:cs="Times New Roman"/>
                <w:szCs w:val="20"/>
              </w:rPr>
              <w:t>9</w:t>
            </w:r>
          </w:p>
        </w:tc>
        <w:tc>
          <w:tcPr>
            <w:tcW w:w="428" w:type="pct"/>
            <w:vAlign w:val="center"/>
          </w:tcPr>
          <w:p w14:paraId="51F600BF" w14:textId="4F87FD6B"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33</w:t>
            </w:r>
            <w:r w:rsidR="00296224">
              <w:rPr>
                <w:rFonts w:ascii="Times New Roman" w:hAnsi="Times New Roman" w:cs="Times New Roman"/>
                <w:szCs w:val="20"/>
                <w:lang w:val="tr-TR"/>
              </w:rPr>
              <w:t>,</w:t>
            </w:r>
            <w:r w:rsidRPr="007F3F6C">
              <w:rPr>
                <w:rFonts w:ascii="Times New Roman" w:hAnsi="Times New Roman" w:cs="Times New Roman"/>
                <w:szCs w:val="20"/>
              </w:rPr>
              <w:t>3</w:t>
            </w:r>
          </w:p>
        </w:tc>
        <w:tc>
          <w:tcPr>
            <w:tcW w:w="462" w:type="pct"/>
            <w:gridSpan w:val="3"/>
            <w:vAlign w:val="center"/>
          </w:tcPr>
          <w:p w14:paraId="65879373" w14:textId="1FC620BA" w:rsidR="00D27836" w:rsidRPr="007F3F6C" w:rsidRDefault="00296224" w:rsidP="003823F6">
            <w:pPr>
              <w:rPr>
                <w:rFonts w:ascii="Times New Roman" w:hAnsi="Times New Roman" w:cs="Times New Roman"/>
                <w:szCs w:val="20"/>
              </w:rPr>
            </w:pPr>
            <w:r>
              <w:rPr>
                <w:rFonts w:ascii="Times New Roman" w:hAnsi="Times New Roman" w:cs="Times New Roman"/>
                <w:szCs w:val="20"/>
              </w:rPr>
              <w:t>43</w:t>
            </w:r>
            <w:r>
              <w:rPr>
                <w:rFonts w:ascii="Times New Roman" w:hAnsi="Times New Roman" w:cs="Times New Roman"/>
                <w:szCs w:val="20"/>
                <w:lang w:val="tr-TR"/>
              </w:rPr>
              <w:t>,</w:t>
            </w:r>
            <w:r w:rsidR="00D27836" w:rsidRPr="007F3F6C">
              <w:rPr>
                <w:rFonts w:ascii="Times New Roman" w:hAnsi="Times New Roman" w:cs="Times New Roman"/>
                <w:szCs w:val="20"/>
              </w:rPr>
              <w:t>2</w:t>
            </w:r>
          </w:p>
        </w:tc>
        <w:tc>
          <w:tcPr>
            <w:tcW w:w="454" w:type="pct"/>
            <w:vAlign w:val="center"/>
          </w:tcPr>
          <w:p w14:paraId="1D308A7B"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39,5</w:t>
            </w:r>
          </w:p>
        </w:tc>
        <w:tc>
          <w:tcPr>
            <w:tcW w:w="475" w:type="pct"/>
            <w:gridSpan w:val="2"/>
            <w:vAlign w:val="center"/>
          </w:tcPr>
          <w:p w14:paraId="6A3D5325"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38,1</w:t>
            </w:r>
          </w:p>
        </w:tc>
        <w:tc>
          <w:tcPr>
            <w:tcW w:w="517" w:type="pct"/>
            <w:vAlign w:val="center"/>
          </w:tcPr>
          <w:p w14:paraId="4DAB90B3"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35,9</w:t>
            </w:r>
          </w:p>
        </w:tc>
        <w:tc>
          <w:tcPr>
            <w:tcW w:w="456" w:type="pct"/>
            <w:vAlign w:val="center"/>
          </w:tcPr>
          <w:p w14:paraId="49DB1033"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43,1</w:t>
            </w:r>
          </w:p>
        </w:tc>
        <w:tc>
          <w:tcPr>
            <w:tcW w:w="596" w:type="pct"/>
            <w:vAlign w:val="center"/>
          </w:tcPr>
          <w:p w14:paraId="740940F4"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193,3</w:t>
            </w:r>
          </w:p>
        </w:tc>
      </w:tr>
      <w:tr w:rsidR="00D27836" w:rsidRPr="007F3F6C" w14:paraId="142518F3" w14:textId="77777777" w:rsidTr="003823F6">
        <w:trPr>
          <w:trHeight w:val="346"/>
        </w:trPr>
        <w:tc>
          <w:tcPr>
            <w:tcW w:w="721" w:type="pct"/>
            <w:vAlign w:val="center"/>
          </w:tcPr>
          <w:p w14:paraId="02E47054" w14:textId="77777777" w:rsidR="00D27836" w:rsidRPr="00CF63C5" w:rsidRDefault="00D27836" w:rsidP="003823F6">
            <w:pPr>
              <w:rPr>
                <w:rFonts w:ascii="Times New Roman" w:hAnsi="Times New Roman" w:cs="Times New Roman"/>
                <w:szCs w:val="20"/>
                <w:lang w:val="tr-TR"/>
              </w:rPr>
            </w:pPr>
            <w:r>
              <w:rPr>
                <w:rFonts w:ascii="Times New Roman" w:hAnsi="Times New Roman" w:cs="Times New Roman"/>
                <w:szCs w:val="20"/>
                <w:lang w:val="tr-TR"/>
              </w:rPr>
              <w:t>Oş</w:t>
            </w:r>
          </w:p>
        </w:tc>
        <w:tc>
          <w:tcPr>
            <w:tcW w:w="446" w:type="pct"/>
            <w:vAlign w:val="center"/>
          </w:tcPr>
          <w:p w14:paraId="10B5FF04"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35,0</w:t>
            </w:r>
          </w:p>
        </w:tc>
        <w:tc>
          <w:tcPr>
            <w:tcW w:w="445" w:type="pct"/>
            <w:gridSpan w:val="2"/>
            <w:vAlign w:val="center"/>
          </w:tcPr>
          <w:p w14:paraId="3104EE49" w14:textId="3285E706"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45</w:t>
            </w:r>
            <w:r w:rsidR="00296224">
              <w:rPr>
                <w:rFonts w:ascii="Times New Roman" w:hAnsi="Times New Roman" w:cs="Times New Roman"/>
                <w:szCs w:val="20"/>
                <w:lang w:val="tr-TR"/>
              </w:rPr>
              <w:t>,</w:t>
            </w:r>
            <w:r w:rsidRPr="007F3F6C">
              <w:rPr>
                <w:rFonts w:ascii="Times New Roman" w:hAnsi="Times New Roman" w:cs="Times New Roman"/>
                <w:szCs w:val="20"/>
              </w:rPr>
              <w:t>8</w:t>
            </w:r>
          </w:p>
        </w:tc>
        <w:tc>
          <w:tcPr>
            <w:tcW w:w="428" w:type="pct"/>
            <w:vAlign w:val="center"/>
          </w:tcPr>
          <w:p w14:paraId="253628FC" w14:textId="26AD2899"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65</w:t>
            </w:r>
            <w:r w:rsidR="00296224">
              <w:rPr>
                <w:rFonts w:ascii="Times New Roman" w:hAnsi="Times New Roman" w:cs="Times New Roman"/>
                <w:szCs w:val="20"/>
                <w:lang w:val="tr-TR"/>
              </w:rPr>
              <w:t>,</w:t>
            </w:r>
            <w:r w:rsidRPr="007F3F6C">
              <w:rPr>
                <w:rFonts w:ascii="Times New Roman" w:hAnsi="Times New Roman" w:cs="Times New Roman"/>
                <w:szCs w:val="20"/>
              </w:rPr>
              <w:t>5</w:t>
            </w:r>
          </w:p>
        </w:tc>
        <w:tc>
          <w:tcPr>
            <w:tcW w:w="462" w:type="pct"/>
            <w:gridSpan w:val="3"/>
            <w:vAlign w:val="center"/>
          </w:tcPr>
          <w:p w14:paraId="29CF0372" w14:textId="4945CC6C" w:rsidR="00D27836" w:rsidRPr="007F3F6C" w:rsidRDefault="00296224" w:rsidP="003823F6">
            <w:pPr>
              <w:rPr>
                <w:rFonts w:ascii="Times New Roman" w:hAnsi="Times New Roman" w:cs="Times New Roman"/>
                <w:szCs w:val="20"/>
              </w:rPr>
            </w:pPr>
            <w:r>
              <w:rPr>
                <w:rFonts w:ascii="Times New Roman" w:hAnsi="Times New Roman" w:cs="Times New Roman"/>
                <w:szCs w:val="20"/>
              </w:rPr>
              <w:t>83</w:t>
            </w:r>
            <w:r>
              <w:rPr>
                <w:rFonts w:ascii="Times New Roman" w:hAnsi="Times New Roman" w:cs="Times New Roman"/>
                <w:szCs w:val="20"/>
                <w:lang w:val="tr-TR"/>
              </w:rPr>
              <w:t>,</w:t>
            </w:r>
            <w:r w:rsidR="00D27836" w:rsidRPr="007F3F6C">
              <w:rPr>
                <w:rFonts w:ascii="Times New Roman" w:hAnsi="Times New Roman" w:cs="Times New Roman"/>
                <w:szCs w:val="20"/>
              </w:rPr>
              <w:t>4</w:t>
            </w:r>
          </w:p>
        </w:tc>
        <w:tc>
          <w:tcPr>
            <w:tcW w:w="454" w:type="pct"/>
            <w:vAlign w:val="center"/>
          </w:tcPr>
          <w:p w14:paraId="05C3F33A"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72,7</w:t>
            </w:r>
          </w:p>
        </w:tc>
        <w:tc>
          <w:tcPr>
            <w:tcW w:w="475" w:type="pct"/>
            <w:gridSpan w:val="2"/>
            <w:vAlign w:val="center"/>
          </w:tcPr>
          <w:p w14:paraId="49569E22"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71,1</w:t>
            </w:r>
          </w:p>
        </w:tc>
        <w:tc>
          <w:tcPr>
            <w:tcW w:w="517" w:type="pct"/>
            <w:vAlign w:val="center"/>
          </w:tcPr>
          <w:p w14:paraId="1AFD62AF"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66,4</w:t>
            </w:r>
          </w:p>
        </w:tc>
        <w:tc>
          <w:tcPr>
            <w:tcW w:w="456" w:type="pct"/>
            <w:vAlign w:val="center"/>
          </w:tcPr>
          <w:p w14:paraId="05BF8F5F"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81,9</w:t>
            </w:r>
          </w:p>
        </w:tc>
        <w:tc>
          <w:tcPr>
            <w:tcW w:w="596" w:type="pct"/>
            <w:vAlign w:val="center"/>
          </w:tcPr>
          <w:p w14:paraId="20EBE10B"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234,0</w:t>
            </w:r>
          </w:p>
        </w:tc>
      </w:tr>
      <w:tr w:rsidR="00D27836" w:rsidRPr="007F3F6C" w14:paraId="578604E7" w14:textId="77777777" w:rsidTr="003823F6">
        <w:trPr>
          <w:trHeight w:val="266"/>
        </w:trPr>
        <w:tc>
          <w:tcPr>
            <w:tcW w:w="721" w:type="pct"/>
            <w:vAlign w:val="center"/>
          </w:tcPr>
          <w:p w14:paraId="6E3ACD5C" w14:textId="77777777" w:rsidR="00D27836" w:rsidRPr="00CF63C5" w:rsidRDefault="00D27836" w:rsidP="003823F6">
            <w:pPr>
              <w:rPr>
                <w:rFonts w:ascii="Times New Roman" w:hAnsi="Times New Roman" w:cs="Times New Roman"/>
                <w:szCs w:val="20"/>
                <w:lang w:val="tr-TR"/>
              </w:rPr>
            </w:pPr>
            <w:r>
              <w:rPr>
                <w:rFonts w:ascii="Times New Roman" w:hAnsi="Times New Roman" w:cs="Times New Roman"/>
                <w:szCs w:val="20"/>
                <w:lang w:val="tr-TR"/>
              </w:rPr>
              <w:t>Batken</w:t>
            </w:r>
          </w:p>
        </w:tc>
        <w:tc>
          <w:tcPr>
            <w:tcW w:w="446" w:type="pct"/>
            <w:vAlign w:val="center"/>
          </w:tcPr>
          <w:p w14:paraId="60E52D45"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18,8</w:t>
            </w:r>
          </w:p>
        </w:tc>
        <w:tc>
          <w:tcPr>
            <w:tcW w:w="445" w:type="pct"/>
            <w:gridSpan w:val="2"/>
            <w:vAlign w:val="center"/>
          </w:tcPr>
          <w:p w14:paraId="53068ACE" w14:textId="566830F3"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14</w:t>
            </w:r>
            <w:r w:rsidR="00296224">
              <w:rPr>
                <w:rFonts w:ascii="Times New Roman" w:hAnsi="Times New Roman" w:cs="Times New Roman"/>
                <w:szCs w:val="20"/>
                <w:lang w:val="tr-TR"/>
              </w:rPr>
              <w:t>,</w:t>
            </w:r>
            <w:r w:rsidRPr="007F3F6C">
              <w:rPr>
                <w:rFonts w:ascii="Times New Roman" w:hAnsi="Times New Roman" w:cs="Times New Roman"/>
                <w:szCs w:val="20"/>
              </w:rPr>
              <w:t>5</w:t>
            </w:r>
          </w:p>
        </w:tc>
        <w:tc>
          <w:tcPr>
            <w:tcW w:w="428" w:type="pct"/>
            <w:vAlign w:val="center"/>
          </w:tcPr>
          <w:p w14:paraId="3D07D967" w14:textId="352C6BC6"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22</w:t>
            </w:r>
            <w:r w:rsidR="00296224">
              <w:rPr>
                <w:rFonts w:ascii="Times New Roman" w:hAnsi="Times New Roman" w:cs="Times New Roman"/>
                <w:szCs w:val="20"/>
                <w:lang w:val="tr-TR"/>
              </w:rPr>
              <w:t>,</w:t>
            </w:r>
            <w:r w:rsidRPr="007F3F6C">
              <w:rPr>
                <w:rFonts w:ascii="Times New Roman" w:hAnsi="Times New Roman" w:cs="Times New Roman"/>
                <w:szCs w:val="20"/>
              </w:rPr>
              <w:t>0</w:t>
            </w:r>
          </w:p>
        </w:tc>
        <w:tc>
          <w:tcPr>
            <w:tcW w:w="462" w:type="pct"/>
            <w:gridSpan w:val="3"/>
            <w:vAlign w:val="center"/>
          </w:tcPr>
          <w:p w14:paraId="712C12B7" w14:textId="06108A73"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32</w:t>
            </w:r>
            <w:r w:rsidR="00296224">
              <w:rPr>
                <w:rFonts w:ascii="Times New Roman" w:hAnsi="Times New Roman" w:cs="Times New Roman"/>
                <w:szCs w:val="20"/>
                <w:lang w:val="tr-TR"/>
              </w:rPr>
              <w:t>,</w:t>
            </w:r>
            <w:r w:rsidRPr="007F3F6C">
              <w:rPr>
                <w:rFonts w:ascii="Times New Roman" w:hAnsi="Times New Roman" w:cs="Times New Roman"/>
                <w:szCs w:val="20"/>
              </w:rPr>
              <w:t>0</w:t>
            </w:r>
          </w:p>
        </w:tc>
        <w:tc>
          <w:tcPr>
            <w:tcW w:w="454" w:type="pct"/>
            <w:vAlign w:val="center"/>
          </w:tcPr>
          <w:p w14:paraId="42D6EF91"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22,4</w:t>
            </w:r>
          </w:p>
        </w:tc>
        <w:tc>
          <w:tcPr>
            <w:tcW w:w="475" w:type="pct"/>
            <w:gridSpan w:val="2"/>
            <w:vAlign w:val="center"/>
          </w:tcPr>
          <w:p w14:paraId="4AB15588"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20,9</w:t>
            </w:r>
          </w:p>
        </w:tc>
        <w:tc>
          <w:tcPr>
            <w:tcW w:w="517" w:type="pct"/>
            <w:vAlign w:val="center"/>
          </w:tcPr>
          <w:p w14:paraId="102B23AB"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22,0</w:t>
            </w:r>
          </w:p>
        </w:tc>
        <w:tc>
          <w:tcPr>
            <w:tcW w:w="456" w:type="pct"/>
            <w:vAlign w:val="center"/>
          </w:tcPr>
          <w:p w14:paraId="620401C1"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26,3</w:t>
            </w:r>
          </w:p>
        </w:tc>
        <w:tc>
          <w:tcPr>
            <w:tcW w:w="596" w:type="pct"/>
            <w:vAlign w:val="center"/>
          </w:tcPr>
          <w:p w14:paraId="4EC43084"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139,9</w:t>
            </w:r>
          </w:p>
        </w:tc>
      </w:tr>
      <w:tr w:rsidR="00D27836" w:rsidRPr="007F3F6C" w14:paraId="145EE3DD" w14:textId="77777777" w:rsidTr="003823F6">
        <w:trPr>
          <w:trHeight w:val="358"/>
        </w:trPr>
        <w:tc>
          <w:tcPr>
            <w:tcW w:w="721" w:type="pct"/>
            <w:vAlign w:val="center"/>
          </w:tcPr>
          <w:p w14:paraId="4B7700A9" w14:textId="77777777" w:rsidR="00D27836" w:rsidRPr="00CF63C5" w:rsidRDefault="00D27836" w:rsidP="003823F6">
            <w:pPr>
              <w:rPr>
                <w:rFonts w:ascii="Times New Roman" w:hAnsi="Times New Roman" w:cs="Times New Roman"/>
                <w:szCs w:val="20"/>
                <w:lang w:val="tr-TR"/>
              </w:rPr>
            </w:pPr>
            <w:r>
              <w:rPr>
                <w:rFonts w:ascii="Times New Roman" w:hAnsi="Times New Roman" w:cs="Times New Roman"/>
                <w:szCs w:val="20"/>
                <w:lang w:val="tr-TR"/>
              </w:rPr>
              <w:t>Calal-Abad</w:t>
            </w:r>
          </w:p>
        </w:tc>
        <w:tc>
          <w:tcPr>
            <w:tcW w:w="446" w:type="pct"/>
            <w:vAlign w:val="center"/>
          </w:tcPr>
          <w:p w14:paraId="2F613F11"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24,9</w:t>
            </w:r>
          </w:p>
        </w:tc>
        <w:tc>
          <w:tcPr>
            <w:tcW w:w="445" w:type="pct"/>
            <w:gridSpan w:val="2"/>
            <w:vAlign w:val="center"/>
          </w:tcPr>
          <w:p w14:paraId="40BD49B0" w14:textId="5F04D7CD"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27</w:t>
            </w:r>
            <w:r w:rsidR="00296224">
              <w:rPr>
                <w:rFonts w:ascii="Times New Roman" w:hAnsi="Times New Roman" w:cs="Times New Roman"/>
                <w:szCs w:val="20"/>
                <w:lang w:val="tr-TR"/>
              </w:rPr>
              <w:t>,</w:t>
            </w:r>
            <w:r w:rsidRPr="007F3F6C">
              <w:rPr>
                <w:rFonts w:ascii="Times New Roman" w:hAnsi="Times New Roman" w:cs="Times New Roman"/>
                <w:szCs w:val="20"/>
              </w:rPr>
              <w:t>9</w:t>
            </w:r>
          </w:p>
        </w:tc>
        <w:tc>
          <w:tcPr>
            <w:tcW w:w="446" w:type="pct"/>
            <w:gridSpan w:val="2"/>
            <w:vAlign w:val="center"/>
          </w:tcPr>
          <w:p w14:paraId="38C0CEF6" w14:textId="23609975"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37</w:t>
            </w:r>
            <w:r w:rsidR="00296224">
              <w:rPr>
                <w:rFonts w:ascii="Times New Roman" w:hAnsi="Times New Roman" w:cs="Times New Roman"/>
                <w:szCs w:val="20"/>
                <w:lang w:val="tr-TR"/>
              </w:rPr>
              <w:t>,</w:t>
            </w:r>
            <w:r w:rsidRPr="007F3F6C">
              <w:rPr>
                <w:rFonts w:ascii="Times New Roman" w:hAnsi="Times New Roman" w:cs="Times New Roman"/>
                <w:szCs w:val="20"/>
              </w:rPr>
              <w:t>7</w:t>
            </w:r>
          </w:p>
        </w:tc>
        <w:tc>
          <w:tcPr>
            <w:tcW w:w="444" w:type="pct"/>
            <w:gridSpan w:val="2"/>
            <w:vAlign w:val="center"/>
          </w:tcPr>
          <w:p w14:paraId="57D08E07" w14:textId="5745C5A7"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49</w:t>
            </w:r>
            <w:r w:rsidR="00296224">
              <w:rPr>
                <w:rFonts w:ascii="Times New Roman" w:hAnsi="Times New Roman" w:cs="Times New Roman"/>
                <w:szCs w:val="20"/>
                <w:lang w:val="tr-TR"/>
              </w:rPr>
              <w:t>,</w:t>
            </w:r>
            <w:r w:rsidRPr="007F3F6C">
              <w:rPr>
                <w:rFonts w:ascii="Times New Roman" w:hAnsi="Times New Roman" w:cs="Times New Roman"/>
                <w:szCs w:val="20"/>
              </w:rPr>
              <w:t>1</w:t>
            </w:r>
          </w:p>
        </w:tc>
        <w:tc>
          <w:tcPr>
            <w:tcW w:w="454" w:type="pct"/>
            <w:vAlign w:val="center"/>
          </w:tcPr>
          <w:p w14:paraId="76E59A80"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42,6</w:t>
            </w:r>
          </w:p>
        </w:tc>
        <w:tc>
          <w:tcPr>
            <w:tcW w:w="475" w:type="pct"/>
            <w:gridSpan w:val="2"/>
            <w:vAlign w:val="center"/>
          </w:tcPr>
          <w:p w14:paraId="61651948"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43,0</w:t>
            </w:r>
          </w:p>
        </w:tc>
        <w:tc>
          <w:tcPr>
            <w:tcW w:w="517" w:type="pct"/>
            <w:vAlign w:val="center"/>
          </w:tcPr>
          <w:p w14:paraId="7E87D7DD"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39,9</w:t>
            </w:r>
          </w:p>
        </w:tc>
        <w:tc>
          <w:tcPr>
            <w:tcW w:w="456" w:type="pct"/>
            <w:vAlign w:val="center"/>
          </w:tcPr>
          <w:p w14:paraId="3C712B07"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45,6</w:t>
            </w:r>
          </w:p>
        </w:tc>
        <w:tc>
          <w:tcPr>
            <w:tcW w:w="596" w:type="pct"/>
            <w:vAlign w:val="center"/>
          </w:tcPr>
          <w:p w14:paraId="5C8C7B31"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183,1</w:t>
            </w:r>
          </w:p>
        </w:tc>
      </w:tr>
      <w:tr w:rsidR="00D27836" w:rsidRPr="007F3F6C" w14:paraId="0D9F737B" w14:textId="77777777" w:rsidTr="003823F6">
        <w:trPr>
          <w:trHeight w:val="346"/>
        </w:trPr>
        <w:tc>
          <w:tcPr>
            <w:tcW w:w="721" w:type="pct"/>
            <w:vAlign w:val="center"/>
          </w:tcPr>
          <w:p w14:paraId="17585FB1" w14:textId="77777777" w:rsidR="00D27836" w:rsidRPr="00CF63C5" w:rsidRDefault="00D27836" w:rsidP="003823F6">
            <w:pPr>
              <w:rPr>
                <w:rFonts w:ascii="Times New Roman" w:hAnsi="Times New Roman" w:cs="Times New Roman"/>
                <w:szCs w:val="20"/>
                <w:lang w:val="tr-TR"/>
              </w:rPr>
            </w:pPr>
            <w:r>
              <w:rPr>
                <w:rFonts w:ascii="Times New Roman" w:hAnsi="Times New Roman" w:cs="Times New Roman"/>
                <w:szCs w:val="20"/>
                <w:lang w:val="tr-TR"/>
              </w:rPr>
              <w:t>Isık-Göl</w:t>
            </w:r>
          </w:p>
        </w:tc>
        <w:tc>
          <w:tcPr>
            <w:tcW w:w="446" w:type="pct"/>
            <w:vAlign w:val="center"/>
          </w:tcPr>
          <w:p w14:paraId="345BCAF0"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13,9</w:t>
            </w:r>
          </w:p>
        </w:tc>
        <w:tc>
          <w:tcPr>
            <w:tcW w:w="445" w:type="pct"/>
            <w:gridSpan w:val="2"/>
            <w:vAlign w:val="center"/>
          </w:tcPr>
          <w:p w14:paraId="40853786" w14:textId="0C033AFE"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17</w:t>
            </w:r>
            <w:r w:rsidR="00296224">
              <w:rPr>
                <w:rFonts w:ascii="Times New Roman" w:hAnsi="Times New Roman" w:cs="Times New Roman"/>
                <w:szCs w:val="20"/>
                <w:lang w:val="tr-TR"/>
              </w:rPr>
              <w:t>,</w:t>
            </w:r>
            <w:r w:rsidRPr="007F3F6C">
              <w:rPr>
                <w:rFonts w:ascii="Times New Roman" w:hAnsi="Times New Roman" w:cs="Times New Roman"/>
                <w:szCs w:val="20"/>
              </w:rPr>
              <w:t>8</w:t>
            </w:r>
          </w:p>
        </w:tc>
        <w:tc>
          <w:tcPr>
            <w:tcW w:w="446" w:type="pct"/>
            <w:gridSpan w:val="2"/>
            <w:vAlign w:val="center"/>
          </w:tcPr>
          <w:p w14:paraId="51AFDD74" w14:textId="7BB44DF9"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22</w:t>
            </w:r>
            <w:r w:rsidR="00296224">
              <w:rPr>
                <w:rFonts w:ascii="Times New Roman" w:hAnsi="Times New Roman" w:cs="Times New Roman"/>
                <w:szCs w:val="20"/>
                <w:lang w:val="tr-TR"/>
              </w:rPr>
              <w:t>,</w:t>
            </w:r>
            <w:r w:rsidRPr="007F3F6C">
              <w:rPr>
                <w:rFonts w:ascii="Times New Roman" w:hAnsi="Times New Roman" w:cs="Times New Roman"/>
                <w:szCs w:val="20"/>
              </w:rPr>
              <w:t>2</w:t>
            </w:r>
          </w:p>
        </w:tc>
        <w:tc>
          <w:tcPr>
            <w:tcW w:w="444" w:type="pct"/>
            <w:gridSpan w:val="2"/>
            <w:vAlign w:val="center"/>
          </w:tcPr>
          <w:p w14:paraId="62CF99CF" w14:textId="1B722D5B"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28</w:t>
            </w:r>
            <w:r w:rsidR="00296224">
              <w:rPr>
                <w:rFonts w:ascii="Times New Roman" w:hAnsi="Times New Roman" w:cs="Times New Roman"/>
                <w:szCs w:val="20"/>
                <w:lang w:val="tr-TR"/>
              </w:rPr>
              <w:t>,</w:t>
            </w:r>
            <w:r w:rsidRPr="007F3F6C">
              <w:rPr>
                <w:rFonts w:ascii="Times New Roman" w:hAnsi="Times New Roman" w:cs="Times New Roman"/>
                <w:szCs w:val="20"/>
              </w:rPr>
              <w:t>5</w:t>
            </w:r>
          </w:p>
        </w:tc>
        <w:tc>
          <w:tcPr>
            <w:tcW w:w="454" w:type="pct"/>
            <w:vAlign w:val="center"/>
          </w:tcPr>
          <w:p w14:paraId="514C7EE7"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23,9</w:t>
            </w:r>
          </w:p>
        </w:tc>
        <w:tc>
          <w:tcPr>
            <w:tcW w:w="475" w:type="pct"/>
            <w:gridSpan w:val="2"/>
            <w:vAlign w:val="center"/>
          </w:tcPr>
          <w:p w14:paraId="7EAD428D"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24,6</w:t>
            </w:r>
          </w:p>
        </w:tc>
        <w:tc>
          <w:tcPr>
            <w:tcW w:w="517" w:type="pct"/>
            <w:vAlign w:val="center"/>
          </w:tcPr>
          <w:p w14:paraId="57DF04DF"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24,2</w:t>
            </w:r>
          </w:p>
        </w:tc>
        <w:tc>
          <w:tcPr>
            <w:tcW w:w="456" w:type="pct"/>
            <w:vAlign w:val="center"/>
          </w:tcPr>
          <w:p w14:paraId="21CABD59"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28,5</w:t>
            </w:r>
          </w:p>
        </w:tc>
        <w:tc>
          <w:tcPr>
            <w:tcW w:w="596" w:type="pct"/>
            <w:vAlign w:val="center"/>
          </w:tcPr>
          <w:p w14:paraId="79CECD1B"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205,0</w:t>
            </w:r>
          </w:p>
        </w:tc>
      </w:tr>
      <w:tr w:rsidR="00D27836" w:rsidRPr="007F3F6C" w14:paraId="48DA9A8D" w14:textId="77777777" w:rsidTr="003823F6">
        <w:trPr>
          <w:trHeight w:val="326"/>
        </w:trPr>
        <w:tc>
          <w:tcPr>
            <w:tcW w:w="721" w:type="pct"/>
            <w:vAlign w:val="center"/>
          </w:tcPr>
          <w:p w14:paraId="391DF41A" w14:textId="77777777" w:rsidR="00D27836" w:rsidRPr="00CF63C5" w:rsidRDefault="00D27836" w:rsidP="003823F6">
            <w:pPr>
              <w:rPr>
                <w:rFonts w:ascii="Times New Roman" w:hAnsi="Times New Roman" w:cs="Times New Roman"/>
                <w:szCs w:val="20"/>
                <w:lang w:val="tr-TR"/>
              </w:rPr>
            </w:pPr>
            <w:r>
              <w:rPr>
                <w:rFonts w:ascii="Times New Roman" w:hAnsi="Times New Roman" w:cs="Times New Roman"/>
                <w:szCs w:val="20"/>
                <w:lang w:val="tr-TR"/>
              </w:rPr>
              <w:t xml:space="preserve">Narın </w:t>
            </w:r>
          </w:p>
        </w:tc>
        <w:tc>
          <w:tcPr>
            <w:tcW w:w="446" w:type="pct"/>
            <w:vAlign w:val="center"/>
          </w:tcPr>
          <w:p w14:paraId="4D2A48AF"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5,9</w:t>
            </w:r>
          </w:p>
        </w:tc>
        <w:tc>
          <w:tcPr>
            <w:tcW w:w="445" w:type="pct"/>
            <w:gridSpan w:val="2"/>
            <w:vAlign w:val="center"/>
          </w:tcPr>
          <w:p w14:paraId="6A33471A" w14:textId="1ADE8453"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7</w:t>
            </w:r>
            <w:r w:rsidR="00296224">
              <w:rPr>
                <w:rFonts w:ascii="Times New Roman" w:hAnsi="Times New Roman" w:cs="Times New Roman"/>
                <w:szCs w:val="20"/>
                <w:lang w:val="tr-TR"/>
              </w:rPr>
              <w:t>,</w:t>
            </w:r>
            <w:r w:rsidRPr="007F3F6C">
              <w:rPr>
                <w:rFonts w:ascii="Times New Roman" w:hAnsi="Times New Roman" w:cs="Times New Roman"/>
                <w:szCs w:val="20"/>
              </w:rPr>
              <w:t>6</w:t>
            </w:r>
          </w:p>
        </w:tc>
        <w:tc>
          <w:tcPr>
            <w:tcW w:w="446" w:type="pct"/>
            <w:gridSpan w:val="2"/>
            <w:vAlign w:val="center"/>
          </w:tcPr>
          <w:p w14:paraId="4C3B8F01" w14:textId="6D6A21EA"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9</w:t>
            </w:r>
            <w:r w:rsidR="00296224">
              <w:rPr>
                <w:rFonts w:ascii="Times New Roman" w:hAnsi="Times New Roman" w:cs="Times New Roman"/>
                <w:szCs w:val="20"/>
                <w:lang w:val="tr-TR"/>
              </w:rPr>
              <w:t>,</w:t>
            </w:r>
            <w:r w:rsidRPr="007F3F6C">
              <w:rPr>
                <w:rFonts w:ascii="Times New Roman" w:hAnsi="Times New Roman" w:cs="Times New Roman"/>
                <w:szCs w:val="20"/>
              </w:rPr>
              <w:t>2</w:t>
            </w:r>
          </w:p>
        </w:tc>
        <w:tc>
          <w:tcPr>
            <w:tcW w:w="444" w:type="pct"/>
            <w:gridSpan w:val="2"/>
            <w:vAlign w:val="center"/>
          </w:tcPr>
          <w:p w14:paraId="23E9FC0C" w14:textId="4A9966CF"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12</w:t>
            </w:r>
            <w:r w:rsidR="00296224">
              <w:rPr>
                <w:rFonts w:ascii="Times New Roman" w:hAnsi="Times New Roman" w:cs="Times New Roman"/>
                <w:szCs w:val="20"/>
                <w:lang w:val="tr-TR"/>
              </w:rPr>
              <w:t>,</w:t>
            </w:r>
            <w:r w:rsidRPr="007F3F6C">
              <w:rPr>
                <w:rFonts w:ascii="Times New Roman" w:hAnsi="Times New Roman" w:cs="Times New Roman"/>
                <w:szCs w:val="20"/>
              </w:rPr>
              <w:t>8</w:t>
            </w:r>
          </w:p>
        </w:tc>
        <w:tc>
          <w:tcPr>
            <w:tcW w:w="454" w:type="pct"/>
            <w:vAlign w:val="center"/>
          </w:tcPr>
          <w:p w14:paraId="6277144D"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10,1</w:t>
            </w:r>
          </w:p>
        </w:tc>
        <w:tc>
          <w:tcPr>
            <w:tcW w:w="475" w:type="pct"/>
            <w:gridSpan w:val="2"/>
            <w:vAlign w:val="center"/>
          </w:tcPr>
          <w:p w14:paraId="0D52B3CE"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11,3</w:t>
            </w:r>
          </w:p>
        </w:tc>
        <w:tc>
          <w:tcPr>
            <w:tcW w:w="517" w:type="pct"/>
            <w:vAlign w:val="center"/>
          </w:tcPr>
          <w:p w14:paraId="38C8938B"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11,8</w:t>
            </w:r>
          </w:p>
        </w:tc>
        <w:tc>
          <w:tcPr>
            <w:tcW w:w="456" w:type="pct"/>
            <w:vAlign w:val="center"/>
          </w:tcPr>
          <w:p w14:paraId="01D10DB2"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15,5</w:t>
            </w:r>
          </w:p>
        </w:tc>
        <w:tc>
          <w:tcPr>
            <w:tcW w:w="596" w:type="pct"/>
            <w:vAlign w:val="center"/>
          </w:tcPr>
          <w:p w14:paraId="4C07231B"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262,7</w:t>
            </w:r>
          </w:p>
        </w:tc>
      </w:tr>
      <w:tr w:rsidR="00D27836" w:rsidRPr="007F3F6C" w14:paraId="7A42C217" w14:textId="77777777" w:rsidTr="003823F6">
        <w:trPr>
          <w:trHeight w:val="386"/>
        </w:trPr>
        <w:tc>
          <w:tcPr>
            <w:tcW w:w="721" w:type="pct"/>
            <w:vAlign w:val="center"/>
          </w:tcPr>
          <w:p w14:paraId="0567F89B" w14:textId="77777777" w:rsidR="00D27836" w:rsidRPr="00CF63C5" w:rsidRDefault="00D27836" w:rsidP="003823F6">
            <w:pPr>
              <w:rPr>
                <w:rFonts w:ascii="Times New Roman" w:hAnsi="Times New Roman" w:cs="Times New Roman"/>
                <w:szCs w:val="20"/>
                <w:lang w:val="tr-TR"/>
              </w:rPr>
            </w:pPr>
            <w:r>
              <w:rPr>
                <w:rFonts w:ascii="Times New Roman" w:hAnsi="Times New Roman" w:cs="Times New Roman"/>
                <w:szCs w:val="20"/>
                <w:lang w:val="tr-TR"/>
              </w:rPr>
              <w:t>Talas</w:t>
            </w:r>
          </w:p>
        </w:tc>
        <w:tc>
          <w:tcPr>
            <w:tcW w:w="446" w:type="pct"/>
            <w:vAlign w:val="center"/>
          </w:tcPr>
          <w:p w14:paraId="00B8FC93"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5,3</w:t>
            </w:r>
          </w:p>
        </w:tc>
        <w:tc>
          <w:tcPr>
            <w:tcW w:w="445" w:type="pct"/>
            <w:gridSpan w:val="2"/>
            <w:vAlign w:val="center"/>
          </w:tcPr>
          <w:p w14:paraId="53BE3199" w14:textId="09E495B3"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7</w:t>
            </w:r>
            <w:r w:rsidR="00296224">
              <w:rPr>
                <w:rFonts w:ascii="Times New Roman" w:hAnsi="Times New Roman" w:cs="Times New Roman"/>
                <w:szCs w:val="20"/>
                <w:lang w:val="tr-TR"/>
              </w:rPr>
              <w:t>,</w:t>
            </w:r>
            <w:r w:rsidRPr="007F3F6C">
              <w:rPr>
                <w:rFonts w:ascii="Times New Roman" w:hAnsi="Times New Roman" w:cs="Times New Roman"/>
                <w:szCs w:val="20"/>
              </w:rPr>
              <w:t>2</w:t>
            </w:r>
          </w:p>
        </w:tc>
        <w:tc>
          <w:tcPr>
            <w:tcW w:w="446" w:type="pct"/>
            <w:gridSpan w:val="2"/>
            <w:vAlign w:val="center"/>
          </w:tcPr>
          <w:p w14:paraId="42819C24" w14:textId="77F1D01E" w:rsidR="00D27836" w:rsidRPr="00296224" w:rsidRDefault="00D27836" w:rsidP="00296224">
            <w:pPr>
              <w:rPr>
                <w:rFonts w:ascii="Times New Roman" w:hAnsi="Times New Roman" w:cs="Times New Roman"/>
                <w:szCs w:val="20"/>
                <w:lang w:val="tr-TR"/>
              </w:rPr>
            </w:pPr>
            <w:r w:rsidRPr="007F3F6C">
              <w:rPr>
                <w:rFonts w:ascii="Times New Roman" w:hAnsi="Times New Roman" w:cs="Times New Roman"/>
                <w:szCs w:val="20"/>
              </w:rPr>
              <w:t>9</w:t>
            </w:r>
            <w:r w:rsidR="00296224">
              <w:rPr>
                <w:rFonts w:ascii="Times New Roman" w:hAnsi="Times New Roman" w:cs="Times New Roman"/>
                <w:szCs w:val="20"/>
                <w:lang w:val="tr-TR"/>
              </w:rPr>
              <w:t>,</w:t>
            </w:r>
            <w:r w:rsidRPr="007F3F6C">
              <w:rPr>
                <w:rFonts w:ascii="Times New Roman" w:hAnsi="Times New Roman" w:cs="Times New Roman"/>
                <w:szCs w:val="20"/>
              </w:rPr>
              <w:t>8</w:t>
            </w:r>
          </w:p>
        </w:tc>
        <w:tc>
          <w:tcPr>
            <w:tcW w:w="444" w:type="pct"/>
            <w:gridSpan w:val="2"/>
            <w:vAlign w:val="center"/>
          </w:tcPr>
          <w:p w14:paraId="014FE30E" w14:textId="6847DC47"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15</w:t>
            </w:r>
            <w:r w:rsidR="00296224">
              <w:rPr>
                <w:rFonts w:ascii="Times New Roman" w:hAnsi="Times New Roman" w:cs="Times New Roman"/>
                <w:szCs w:val="20"/>
                <w:lang w:val="tr-TR"/>
              </w:rPr>
              <w:t>,</w:t>
            </w:r>
            <w:r w:rsidRPr="007F3F6C">
              <w:rPr>
                <w:rFonts w:ascii="Times New Roman" w:hAnsi="Times New Roman" w:cs="Times New Roman"/>
                <w:szCs w:val="20"/>
              </w:rPr>
              <w:t>0</w:t>
            </w:r>
          </w:p>
        </w:tc>
        <w:tc>
          <w:tcPr>
            <w:tcW w:w="454" w:type="pct"/>
            <w:vAlign w:val="center"/>
          </w:tcPr>
          <w:p w14:paraId="70C6389F"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11,6</w:t>
            </w:r>
          </w:p>
        </w:tc>
        <w:tc>
          <w:tcPr>
            <w:tcW w:w="475" w:type="pct"/>
            <w:gridSpan w:val="2"/>
            <w:vAlign w:val="center"/>
          </w:tcPr>
          <w:p w14:paraId="7F770FDD"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10,8</w:t>
            </w:r>
          </w:p>
        </w:tc>
        <w:tc>
          <w:tcPr>
            <w:tcW w:w="517" w:type="pct"/>
            <w:vAlign w:val="center"/>
          </w:tcPr>
          <w:p w14:paraId="15A89071"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10,5</w:t>
            </w:r>
          </w:p>
        </w:tc>
        <w:tc>
          <w:tcPr>
            <w:tcW w:w="456" w:type="pct"/>
            <w:vAlign w:val="center"/>
          </w:tcPr>
          <w:p w14:paraId="7EB9FBF7"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12,2</w:t>
            </w:r>
          </w:p>
        </w:tc>
        <w:tc>
          <w:tcPr>
            <w:tcW w:w="596" w:type="pct"/>
            <w:vAlign w:val="center"/>
          </w:tcPr>
          <w:p w14:paraId="4004266C"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230,1</w:t>
            </w:r>
          </w:p>
        </w:tc>
      </w:tr>
      <w:tr w:rsidR="00D27836" w:rsidRPr="007F3F6C" w14:paraId="54C63051" w14:textId="77777777" w:rsidTr="003823F6">
        <w:trPr>
          <w:trHeight w:val="331"/>
        </w:trPr>
        <w:tc>
          <w:tcPr>
            <w:tcW w:w="721" w:type="pct"/>
            <w:vAlign w:val="center"/>
          </w:tcPr>
          <w:p w14:paraId="6E1CE9C8" w14:textId="77777777" w:rsidR="00D27836" w:rsidRPr="00CF63C5" w:rsidRDefault="00D27836" w:rsidP="003823F6">
            <w:pPr>
              <w:rPr>
                <w:rFonts w:ascii="Times New Roman" w:hAnsi="Times New Roman" w:cs="Times New Roman"/>
                <w:b/>
                <w:szCs w:val="20"/>
                <w:lang w:val="tr-TR"/>
              </w:rPr>
            </w:pPr>
            <w:r>
              <w:rPr>
                <w:rFonts w:ascii="Times New Roman" w:hAnsi="Times New Roman" w:cs="Times New Roman"/>
                <w:b/>
                <w:szCs w:val="20"/>
                <w:lang w:val="tr-TR"/>
              </w:rPr>
              <w:t>Toplam</w:t>
            </w:r>
          </w:p>
        </w:tc>
        <w:tc>
          <w:tcPr>
            <w:tcW w:w="446" w:type="pct"/>
            <w:vAlign w:val="center"/>
          </w:tcPr>
          <w:p w14:paraId="6641A08E"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188,5</w:t>
            </w:r>
          </w:p>
        </w:tc>
        <w:tc>
          <w:tcPr>
            <w:tcW w:w="445" w:type="pct"/>
            <w:gridSpan w:val="2"/>
            <w:vAlign w:val="center"/>
          </w:tcPr>
          <w:p w14:paraId="7EB94E02" w14:textId="084CCC5E"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238</w:t>
            </w:r>
            <w:r w:rsidR="00296224">
              <w:rPr>
                <w:rFonts w:ascii="Times New Roman" w:hAnsi="Times New Roman" w:cs="Times New Roman"/>
                <w:szCs w:val="20"/>
                <w:lang w:val="tr-TR"/>
              </w:rPr>
              <w:t>,</w:t>
            </w:r>
            <w:r w:rsidRPr="007F3F6C">
              <w:rPr>
                <w:rFonts w:ascii="Times New Roman" w:hAnsi="Times New Roman" w:cs="Times New Roman"/>
                <w:szCs w:val="20"/>
              </w:rPr>
              <w:t>2</w:t>
            </w:r>
          </w:p>
        </w:tc>
        <w:tc>
          <w:tcPr>
            <w:tcW w:w="446" w:type="pct"/>
            <w:gridSpan w:val="2"/>
            <w:vAlign w:val="center"/>
          </w:tcPr>
          <w:p w14:paraId="25F2AE8B" w14:textId="56D7D13B"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295</w:t>
            </w:r>
            <w:r w:rsidR="00296224">
              <w:rPr>
                <w:rFonts w:ascii="Times New Roman" w:hAnsi="Times New Roman" w:cs="Times New Roman"/>
                <w:szCs w:val="20"/>
                <w:lang w:val="tr-TR"/>
              </w:rPr>
              <w:t>,</w:t>
            </w:r>
            <w:r w:rsidRPr="007F3F6C">
              <w:rPr>
                <w:rFonts w:ascii="Times New Roman" w:hAnsi="Times New Roman" w:cs="Times New Roman"/>
                <w:szCs w:val="20"/>
              </w:rPr>
              <w:t>3</w:t>
            </w:r>
          </w:p>
        </w:tc>
        <w:tc>
          <w:tcPr>
            <w:tcW w:w="444" w:type="pct"/>
            <w:gridSpan w:val="2"/>
            <w:vAlign w:val="center"/>
          </w:tcPr>
          <w:p w14:paraId="6A1EE23C" w14:textId="1DC537B1" w:rsidR="00D27836" w:rsidRPr="007F3F6C" w:rsidRDefault="00D27836" w:rsidP="00296224">
            <w:pPr>
              <w:rPr>
                <w:rFonts w:ascii="Times New Roman" w:hAnsi="Times New Roman" w:cs="Times New Roman"/>
                <w:szCs w:val="20"/>
              </w:rPr>
            </w:pPr>
            <w:r w:rsidRPr="007F3F6C">
              <w:rPr>
                <w:rFonts w:ascii="Times New Roman" w:hAnsi="Times New Roman" w:cs="Times New Roman"/>
                <w:szCs w:val="20"/>
              </w:rPr>
              <w:t>385</w:t>
            </w:r>
            <w:r w:rsidR="00296224">
              <w:rPr>
                <w:rFonts w:ascii="Times New Roman" w:hAnsi="Times New Roman" w:cs="Times New Roman"/>
                <w:szCs w:val="20"/>
                <w:lang w:val="tr-TR"/>
              </w:rPr>
              <w:t>,</w:t>
            </w:r>
            <w:r w:rsidRPr="007F3F6C">
              <w:rPr>
                <w:rFonts w:ascii="Times New Roman" w:hAnsi="Times New Roman" w:cs="Times New Roman"/>
                <w:szCs w:val="20"/>
              </w:rPr>
              <w:t>6</w:t>
            </w:r>
          </w:p>
        </w:tc>
        <w:tc>
          <w:tcPr>
            <w:tcW w:w="454" w:type="pct"/>
            <w:vAlign w:val="center"/>
          </w:tcPr>
          <w:p w14:paraId="3DDA0C89"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379,7</w:t>
            </w:r>
          </w:p>
        </w:tc>
        <w:tc>
          <w:tcPr>
            <w:tcW w:w="475" w:type="pct"/>
            <w:gridSpan w:val="2"/>
            <w:vAlign w:val="center"/>
          </w:tcPr>
          <w:p w14:paraId="711FBD75"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434,9</w:t>
            </w:r>
          </w:p>
        </w:tc>
        <w:tc>
          <w:tcPr>
            <w:tcW w:w="517" w:type="pct"/>
            <w:vAlign w:val="center"/>
          </w:tcPr>
          <w:p w14:paraId="69B41B9A"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366,6</w:t>
            </w:r>
          </w:p>
        </w:tc>
        <w:tc>
          <w:tcPr>
            <w:tcW w:w="456" w:type="pct"/>
            <w:vAlign w:val="center"/>
          </w:tcPr>
          <w:p w14:paraId="3D93C494"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433,8</w:t>
            </w:r>
          </w:p>
        </w:tc>
        <w:tc>
          <w:tcPr>
            <w:tcW w:w="596" w:type="pct"/>
            <w:vAlign w:val="center"/>
          </w:tcPr>
          <w:p w14:paraId="68E92F3D" w14:textId="77777777" w:rsidR="00D27836" w:rsidRPr="007F3F6C" w:rsidRDefault="00D27836" w:rsidP="003823F6">
            <w:pPr>
              <w:rPr>
                <w:rFonts w:ascii="Times New Roman" w:hAnsi="Times New Roman" w:cs="Times New Roman"/>
                <w:szCs w:val="20"/>
              </w:rPr>
            </w:pPr>
            <w:r w:rsidRPr="007F3F6C">
              <w:rPr>
                <w:rFonts w:ascii="Times New Roman" w:hAnsi="Times New Roman" w:cs="Times New Roman"/>
                <w:szCs w:val="20"/>
              </w:rPr>
              <w:t>230,1</w:t>
            </w:r>
          </w:p>
        </w:tc>
      </w:tr>
    </w:tbl>
    <w:p w14:paraId="5238889D" w14:textId="05624EF9" w:rsidR="00D27836" w:rsidRPr="002A77F4" w:rsidRDefault="00D27836" w:rsidP="00D27836">
      <w:pPr>
        <w:shd w:val="clear" w:color="auto" w:fill="FFFFFF"/>
        <w:spacing w:before="60" w:after="0"/>
        <w:rPr>
          <w:rFonts w:ascii="Times New Roman" w:eastAsia="Times New Roman" w:hAnsi="Times New Roman" w:cs="Times New Roman"/>
          <w:i/>
          <w:shd w:val="clear" w:color="auto" w:fill="FFFFFF"/>
          <w:lang w:val="tr-TR" w:eastAsia="ru-RU"/>
        </w:rPr>
      </w:pPr>
      <w:r w:rsidRPr="002A77F4">
        <w:rPr>
          <w:rFonts w:ascii="Times New Roman" w:eastAsia="Times New Roman" w:hAnsi="Times New Roman" w:cs="Times New Roman"/>
          <w:b/>
          <w:i/>
          <w:shd w:val="clear" w:color="auto" w:fill="FFFFFF"/>
          <w:lang w:val="en-US" w:eastAsia="ru-RU"/>
        </w:rPr>
        <w:t>Kaynak</w:t>
      </w:r>
      <w:r w:rsidRPr="002A77F4">
        <w:rPr>
          <w:rFonts w:ascii="Times New Roman" w:eastAsia="Times New Roman" w:hAnsi="Times New Roman" w:cs="Times New Roman"/>
          <w:b/>
          <w:i/>
          <w:shd w:val="clear" w:color="auto" w:fill="FFFFFF"/>
          <w:lang w:eastAsia="ru-RU"/>
        </w:rPr>
        <w:t>:</w:t>
      </w:r>
      <w:r w:rsidRPr="002A77F4">
        <w:rPr>
          <w:rFonts w:ascii="Times New Roman" w:eastAsia="Times New Roman" w:hAnsi="Times New Roman" w:cs="Times New Roman"/>
          <w:i/>
          <w:shd w:val="clear" w:color="auto" w:fill="FFFFFF"/>
          <w:lang w:val="tr-TR" w:eastAsia="ru-RU"/>
        </w:rPr>
        <w:t xml:space="preserve"> K</w:t>
      </w:r>
      <w:r w:rsidRPr="002A77F4">
        <w:rPr>
          <w:rFonts w:ascii="Times New Roman" w:eastAsia="Times New Roman" w:hAnsi="Times New Roman" w:cs="Times New Roman"/>
          <w:i/>
          <w:shd w:val="clear" w:color="auto" w:fill="FFFFFF"/>
          <w:lang w:eastAsia="ru-RU"/>
        </w:rPr>
        <w:t>ı</w:t>
      </w:r>
      <w:r w:rsidRPr="002A77F4">
        <w:rPr>
          <w:rFonts w:ascii="Times New Roman" w:eastAsia="Times New Roman" w:hAnsi="Times New Roman" w:cs="Times New Roman"/>
          <w:i/>
          <w:shd w:val="clear" w:color="auto" w:fill="FFFFFF"/>
          <w:lang w:val="en-US" w:eastAsia="ru-RU"/>
        </w:rPr>
        <w:t>rg</w:t>
      </w:r>
      <w:r w:rsidRPr="002A77F4">
        <w:rPr>
          <w:rFonts w:ascii="Times New Roman" w:eastAsia="Times New Roman" w:hAnsi="Times New Roman" w:cs="Times New Roman"/>
          <w:i/>
          <w:shd w:val="clear" w:color="auto" w:fill="FFFFFF"/>
          <w:lang w:eastAsia="ru-RU"/>
        </w:rPr>
        <w:t>ı</w:t>
      </w:r>
      <w:r w:rsidRPr="002A77F4">
        <w:rPr>
          <w:rFonts w:ascii="Times New Roman" w:eastAsia="Times New Roman" w:hAnsi="Times New Roman" w:cs="Times New Roman"/>
          <w:i/>
          <w:shd w:val="clear" w:color="auto" w:fill="FFFFFF"/>
          <w:lang w:val="en-US" w:eastAsia="ru-RU"/>
        </w:rPr>
        <w:t>z</w:t>
      </w:r>
      <w:r w:rsidRPr="002A77F4">
        <w:rPr>
          <w:rFonts w:ascii="Times New Roman" w:eastAsia="Times New Roman" w:hAnsi="Times New Roman" w:cs="Times New Roman"/>
          <w:i/>
          <w:shd w:val="clear" w:color="auto" w:fill="FFFFFF"/>
          <w:lang w:eastAsia="ru-RU"/>
        </w:rPr>
        <w:t xml:space="preserve"> </w:t>
      </w:r>
      <w:r w:rsidRPr="002A77F4">
        <w:rPr>
          <w:rFonts w:ascii="Times New Roman" w:eastAsia="Times New Roman" w:hAnsi="Times New Roman" w:cs="Times New Roman"/>
          <w:i/>
          <w:shd w:val="clear" w:color="auto" w:fill="FFFFFF"/>
          <w:lang w:val="en-US" w:eastAsia="ru-RU"/>
        </w:rPr>
        <w:t>Cumhuriyeti</w:t>
      </w:r>
      <w:r w:rsidRPr="002A77F4">
        <w:rPr>
          <w:rFonts w:ascii="Times New Roman" w:eastAsia="Times New Roman" w:hAnsi="Times New Roman" w:cs="Times New Roman"/>
          <w:i/>
          <w:shd w:val="clear" w:color="auto" w:fill="FFFFFF"/>
          <w:lang w:eastAsia="ru-RU"/>
        </w:rPr>
        <w:t xml:space="preserve"> </w:t>
      </w:r>
      <w:r w:rsidRPr="002A77F4">
        <w:rPr>
          <w:rFonts w:ascii="Times New Roman" w:eastAsia="Times New Roman" w:hAnsi="Times New Roman" w:cs="Times New Roman"/>
          <w:i/>
          <w:shd w:val="clear" w:color="auto" w:fill="FFFFFF"/>
          <w:lang w:val="en-US" w:eastAsia="ru-RU"/>
        </w:rPr>
        <w:t>ZSSF</w:t>
      </w:r>
      <w:r w:rsidRPr="002A77F4">
        <w:rPr>
          <w:rFonts w:ascii="Times New Roman" w:eastAsia="Times New Roman" w:hAnsi="Times New Roman" w:cs="Times New Roman"/>
          <w:i/>
          <w:shd w:val="clear" w:color="auto" w:fill="FFFFFF"/>
          <w:lang w:eastAsia="ru-RU"/>
        </w:rPr>
        <w:t xml:space="preserve"> 2009-2019</w:t>
      </w:r>
      <w:r w:rsidRPr="002A77F4">
        <w:rPr>
          <w:rFonts w:ascii="Times New Roman" w:eastAsia="Times New Roman" w:hAnsi="Times New Roman" w:cs="Times New Roman"/>
          <w:i/>
          <w:shd w:val="clear" w:color="auto" w:fill="FFFFFF"/>
          <w:lang w:val="tr-TR" w:eastAsia="ru-RU"/>
        </w:rPr>
        <w:t xml:space="preserve"> </w:t>
      </w:r>
      <w:r w:rsidRPr="002A77F4">
        <w:rPr>
          <w:rFonts w:ascii="Times New Roman" w:eastAsia="Times New Roman" w:hAnsi="Times New Roman" w:cs="Times New Roman"/>
          <w:i/>
          <w:shd w:val="clear" w:color="auto" w:fill="FFFFFF"/>
          <w:lang w:val="en-US" w:eastAsia="ru-RU"/>
        </w:rPr>
        <w:t>verilerine</w:t>
      </w:r>
      <w:r w:rsidRPr="002A77F4">
        <w:rPr>
          <w:rFonts w:ascii="Times New Roman" w:eastAsia="Times New Roman" w:hAnsi="Times New Roman" w:cs="Times New Roman"/>
          <w:i/>
          <w:shd w:val="clear" w:color="auto" w:fill="FFFFFF"/>
          <w:lang w:eastAsia="ru-RU"/>
        </w:rPr>
        <w:t xml:space="preserve"> </w:t>
      </w:r>
      <w:r w:rsidRPr="002A77F4">
        <w:rPr>
          <w:rFonts w:ascii="Times New Roman" w:eastAsia="Times New Roman" w:hAnsi="Times New Roman" w:cs="Times New Roman"/>
          <w:i/>
          <w:shd w:val="clear" w:color="auto" w:fill="FFFFFF"/>
          <w:lang w:val="en-US" w:eastAsia="ru-RU"/>
        </w:rPr>
        <w:t>g</w:t>
      </w:r>
      <w:r w:rsidRPr="002A77F4">
        <w:rPr>
          <w:rFonts w:ascii="Times New Roman" w:eastAsia="Times New Roman" w:hAnsi="Times New Roman" w:cs="Times New Roman"/>
          <w:i/>
          <w:shd w:val="clear" w:color="auto" w:fill="FFFFFF"/>
          <w:lang w:eastAsia="ru-RU"/>
        </w:rPr>
        <w:t>ö</w:t>
      </w:r>
      <w:r w:rsidRPr="002A77F4">
        <w:rPr>
          <w:rFonts w:ascii="Times New Roman" w:eastAsia="Times New Roman" w:hAnsi="Times New Roman" w:cs="Times New Roman"/>
          <w:i/>
          <w:shd w:val="clear" w:color="auto" w:fill="FFFFFF"/>
          <w:lang w:val="en-US" w:eastAsia="ru-RU"/>
        </w:rPr>
        <w:t>re</w:t>
      </w:r>
      <w:r w:rsidRPr="002A77F4">
        <w:rPr>
          <w:rFonts w:ascii="Times New Roman" w:eastAsia="Times New Roman" w:hAnsi="Times New Roman" w:cs="Times New Roman"/>
          <w:i/>
          <w:shd w:val="clear" w:color="auto" w:fill="FFFFFF"/>
          <w:lang w:eastAsia="ru-RU"/>
        </w:rPr>
        <w:t xml:space="preserve"> </w:t>
      </w:r>
      <w:r w:rsidRPr="002A77F4">
        <w:rPr>
          <w:rFonts w:ascii="Times New Roman" w:eastAsia="Times New Roman" w:hAnsi="Times New Roman" w:cs="Times New Roman"/>
          <w:i/>
          <w:shd w:val="clear" w:color="auto" w:fill="FFFFFF"/>
          <w:lang w:val="en-US" w:eastAsia="ru-RU"/>
        </w:rPr>
        <w:t>hesaplanm</w:t>
      </w:r>
      <w:r w:rsidRPr="002A77F4">
        <w:rPr>
          <w:rFonts w:ascii="Times New Roman" w:eastAsia="Times New Roman" w:hAnsi="Times New Roman" w:cs="Times New Roman"/>
          <w:i/>
          <w:shd w:val="clear" w:color="auto" w:fill="FFFFFF"/>
          <w:lang w:eastAsia="ru-RU"/>
        </w:rPr>
        <w:t>ış</w:t>
      </w:r>
      <w:r w:rsidRPr="002A77F4">
        <w:rPr>
          <w:rFonts w:ascii="Times New Roman" w:eastAsia="Times New Roman" w:hAnsi="Times New Roman" w:cs="Times New Roman"/>
          <w:i/>
          <w:shd w:val="clear" w:color="auto" w:fill="FFFFFF"/>
          <w:lang w:val="en-US" w:eastAsia="ru-RU"/>
        </w:rPr>
        <w:t>t</w:t>
      </w:r>
      <w:r w:rsidRPr="002A77F4">
        <w:rPr>
          <w:rFonts w:ascii="Times New Roman" w:eastAsia="Times New Roman" w:hAnsi="Times New Roman" w:cs="Times New Roman"/>
          <w:i/>
          <w:shd w:val="clear" w:color="auto" w:fill="FFFFFF"/>
          <w:lang w:eastAsia="ru-RU"/>
        </w:rPr>
        <w:t>ı</w:t>
      </w:r>
      <w:r w:rsidRPr="002A77F4">
        <w:rPr>
          <w:rFonts w:ascii="Times New Roman" w:eastAsia="Times New Roman" w:hAnsi="Times New Roman" w:cs="Times New Roman"/>
          <w:i/>
          <w:shd w:val="clear" w:color="auto" w:fill="FFFFFF"/>
          <w:lang w:val="en-US" w:eastAsia="ru-RU"/>
        </w:rPr>
        <w:t>r</w:t>
      </w:r>
      <w:r w:rsidRPr="002A77F4">
        <w:rPr>
          <w:rFonts w:ascii="Times New Roman" w:eastAsia="Times New Roman" w:hAnsi="Times New Roman" w:cs="Times New Roman"/>
          <w:i/>
          <w:shd w:val="clear" w:color="auto" w:fill="FFFFFF"/>
          <w:lang w:eastAsia="ru-RU"/>
        </w:rPr>
        <w:t xml:space="preserve">. </w:t>
      </w:r>
      <w:r w:rsidR="00645493" w:rsidRPr="00645493">
        <w:rPr>
          <w:rFonts w:ascii="Times New Roman" w:eastAsia="Times New Roman" w:hAnsi="Times New Roman" w:cs="Times New Roman"/>
          <w:i/>
          <w:shd w:val="clear" w:color="auto" w:fill="FFFFFF"/>
          <w:lang w:eastAsia="ru-RU"/>
        </w:rPr>
        <w:t>http://foms.kg/page/reports</w:t>
      </w:r>
    </w:p>
    <w:p w14:paraId="5DDDCC2B" w14:textId="18DD40D7" w:rsidR="00545936" w:rsidRPr="009C2113" w:rsidRDefault="00545936" w:rsidP="00296224">
      <w:pPr>
        <w:spacing w:before="120" w:after="0"/>
        <w:ind w:firstLine="567"/>
        <w:jc w:val="both"/>
        <w:rPr>
          <w:rFonts w:ascii="Times New Roman" w:hAnsi="Times New Roman" w:cs="Times New Roman"/>
          <w:lang w:val="tr-TR"/>
        </w:rPr>
      </w:pPr>
      <w:r w:rsidRPr="00D27836">
        <w:rPr>
          <w:rFonts w:ascii="Times New Roman" w:hAnsi="Times New Roman" w:cs="Times New Roman"/>
          <w:lang w:val="tr-TR"/>
        </w:rPr>
        <w:t>Bölgesel bağlamda, gelirler</w:t>
      </w:r>
      <w:r w:rsidR="00D27836">
        <w:rPr>
          <w:rFonts w:ascii="Times New Roman" w:hAnsi="Times New Roman" w:cs="Times New Roman"/>
          <w:lang w:val="tr-TR"/>
        </w:rPr>
        <w:t xml:space="preserve"> </w:t>
      </w:r>
      <w:r w:rsidRPr="00D27836">
        <w:rPr>
          <w:rFonts w:ascii="Times New Roman" w:hAnsi="Times New Roman" w:cs="Times New Roman"/>
          <w:lang w:val="tr-TR"/>
        </w:rPr>
        <w:t>eşitsizlik</w:t>
      </w:r>
      <w:r w:rsidR="00454144" w:rsidRPr="00D27836">
        <w:rPr>
          <w:rFonts w:ascii="Times New Roman" w:hAnsi="Times New Roman" w:cs="Times New Roman"/>
          <w:lang w:val="tr-TR"/>
        </w:rPr>
        <w:t xml:space="preserve"> ile karakterize edil</w:t>
      </w:r>
      <w:r w:rsidR="005A68EB" w:rsidRPr="00D27836">
        <w:rPr>
          <w:rFonts w:ascii="Times New Roman" w:hAnsi="Times New Roman" w:cs="Times New Roman"/>
          <w:lang w:val="tr-TR"/>
        </w:rPr>
        <w:t>mektedir</w:t>
      </w:r>
      <w:r w:rsidR="00454144" w:rsidRPr="00D27836">
        <w:rPr>
          <w:rFonts w:ascii="Times New Roman" w:hAnsi="Times New Roman" w:cs="Times New Roman"/>
          <w:lang w:val="tr-TR"/>
        </w:rPr>
        <w:t xml:space="preserve">. </w:t>
      </w:r>
      <w:r w:rsidR="00454144" w:rsidRPr="009C2113">
        <w:rPr>
          <w:rFonts w:ascii="Times New Roman" w:hAnsi="Times New Roman" w:cs="Times New Roman"/>
          <w:color w:val="000000" w:themeColor="text1"/>
          <w:lang w:val="tr-TR"/>
        </w:rPr>
        <w:t xml:space="preserve">Tablo </w:t>
      </w:r>
      <w:r w:rsidR="00B07695">
        <w:rPr>
          <w:rFonts w:ascii="Times New Roman" w:hAnsi="Times New Roman" w:cs="Times New Roman"/>
          <w:color w:val="000000" w:themeColor="text1"/>
          <w:lang w:val="tr-TR"/>
        </w:rPr>
        <w:t>4</w:t>
      </w:r>
      <w:r w:rsidRPr="00283DCA">
        <w:rPr>
          <w:rFonts w:ascii="Times New Roman" w:hAnsi="Times New Roman" w:cs="Times New Roman"/>
          <w:color w:val="000000" w:themeColor="text1"/>
          <w:lang w:val="tr-TR"/>
        </w:rPr>
        <w:t>’e</w:t>
      </w:r>
      <w:r w:rsidRPr="009C2113">
        <w:rPr>
          <w:rFonts w:ascii="Times New Roman" w:hAnsi="Times New Roman" w:cs="Times New Roman"/>
          <w:color w:val="000000" w:themeColor="text1"/>
          <w:lang w:val="tr-TR"/>
        </w:rPr>
        <w:t xml:space="preserve"> </w:t>
      </w:r>
      <w:r w:rsidRPr="009C2113">
        <w:rPr>
          <w:rFonts w:ascii="Times New Roman" w:hAnsi="Times New Roman" w:cs="Times New Roman"/>
          <w:lang w:val="tr-TR"/>
        </w:rPr>
        <w:t>göre</w:t>
      </w:r>
      <w:r w:rsidRPr="007F3F6C">
        <w:rPr>
          <w:rFonts w:ascii="Times New Roman" w:hAnsi="Times New Roman" w:cs="Times New Roman"/>
          <w:lang w:val="tr-TR"/>
        </w:rPr>
        <w:t>,</w:t>
      </w:r>
      <w:r w:rsidRPr="009C2113">
        <w:rPr>
          <w:rFonts w:ascii="Times New Roman" w:hAnsi="Times New Roman" w:cs="Times New Roman"/>
          <w:lang w:val="tr-TR"/>
        </w:rPr>
        <w:t xml:space="preserve"> özel fon gelirlerinin önemli bir kısmı, büyümenin</w:t>
      </w:r>
      <w:r w:rsidR="009C2113">
        <w:rPr>
          <w:rFonts w:ascii="Times New Roman" w:hAnsi="Times New Roman" w:cs="Times New Roman"/>
          <w:lang w:val="tr-TR"/>
        </w:rPr>
        <w:t xml:space="preserve"> 39,</w:t>
      </w:r>
      <w:r w:rsidRPr="009C2113">
        <w:rPr>
          <w:rFonts w:ascii="Times New Roman" w:hAnsi="Times New Roman" w:cs="Times New Roman"/>
          <w:lang w:val="tr-TR"/>
        </w:rPr>
        <w:t xml:space="preserve">5 kat olduğu Talas bölgesinde </w:t>
      </w:r>
      <w:r w:rsidR="00454144" w:rsidRPr="009C2113">
        <w:rPr>
          <w:rFonts w:ascii="Times New Roman" w:hAnsi="Times New Roman" w:cs="Times New Roman"/>
          <w:lang w:val="tr-TR"/>
        </w:rPr>
        <w:t>kaydedildi. Ardından takip eden</w:t>
      </w:r>
      <w:r w:rsidRPr="009C2113">
        <w:rPr>
          <w:rFonts w:ascii="Times New Roman" w:hAnsi="Times New Roman" w:cs="Times New Roman"/>
          <w:lang w:val="tr-TR"/>
        </w:rPr>
        <w:t xml:space="preserve"> bölg</w:t>
      </w:r>
      <w:r w:rsidR="00454144" w:rsidRPr="009C2113">
        <w:rPr>
          <w:rFonts w:ascii="Times New Roman" w:hAnsi="Times New Roman" w:cs="Times New Roman"/>
          <w:lang w:val="tr-TR"/>
        </w:rPr>
        <w:t>e</w:t>
      </w:r>
      <w:r w:rsidRPr="009C2113">
        <w:rPr>
          <w:rFonts w:ascii="Times New Roman" w:hAnsi="Times New Roman" w:cs="Times New Roman"/>
          <w:lang w:val="tr-TR"/>
        </w:rPr>
        <w:t>ler</w:t>
      </w:r>
      <w:r w:rsidR="0013783A" w:rsidRPr="009C2113">
        <w:rPr>
          <w:rFonts w:ascii="Times New Roman" w:hAnsi="Times New Roman" w:cs="Times New Roman"/>
          <w:lang w:val="tr-TR"/>
        </w:rPr>
        <w:t>de</w:t>
      </w:r>
      <w:r w:rsidRPr="009C2113">
        <w:rPr>
          <w:rFonts w:ascii="Times New Roman" w:hAnsi="Times New Roman" w:cs="Times New Roman"/>
          <w:lang w:val="tr-TR"/>
        </w:rPr>
        <w:t xml:space="preserve"> ise</w:t>
      </w:r>
      <w:r w:rsidR="00875153" w:rsidRPr="009C2113">
        <w:rPr>
          <w:rFonts w:ascii="Times New Roman" w:hAnsi="Times New Roman" w:cs="Times New Roman"/>
          <w:lang w:val="tr-TR"/>
        </w:rPr>
        <w:t xml:space="preserve">: Batken </w:t>
      </w:r>
      <w:r w:rsidR="00296224">
        <w:rPr>
          <w:rFonts w:ascii="Times New Roman" w:hAnsi="Times New Roman" w:cs="Times New Roman"/>
          <w:lang w:val="tr-TR"/>
        </w:rPr>
        <w:t>–</w:t>
      </w:r>
      <w:r w:rsidR="00875153" w:rsidRPr="009C2113">
        <w:rPr>
          <w:rFonts w:ascii="Times New Roman" w:hAnsi="Times New Roman" w:cs="Times New Roman"/>
          <w:lang w:val="tr-TR"/>
        </w:rPr>
        <w:t xml:space="preserve"> 14,7 </w:t>
      </w:r>
      <w:r w:rsidR="005A68EB" w:rsidRPr="009C2113">
        <w:rPr>
          <w:rFonts w:ascii="Times New Roman" w:hAnsi="Times New Roman" w:cs="Times New Roman"/>
          <w:lang w:val="tr-TR"/>
        </w:rPr>
        <w:t xml:space="preserve">kat, </w:t>
      </w:r>
      <w:r w:rsidRPr="009C2113">
        <w:rPr>
          <w:rFonts w:ascii="Times New Roman" w:hAnsi="Times New Roman" w:cs="Times New Roman"/>
          <w:lang w:val="tr-TR"/>
        </w:rPr>
        <w:t>Oş ise</w:t>
      </w:r>
      <w:r w:rsidR="00875153" w:rsidRPr="009C2113">
        <w:rPr>
          <w:rFonts w:ascii="Times New Roman" w:hAnsi="Times New Roman" w:cs="Times New Roman"/>
          <w:lang w:val="tr-TR"/>
        </w:rPr>
        <w:t xml:space="preserve"> </w:t>
      </w:r>
      <w:r w:rsidR="00296224">
        <w:rPr>
          <w:rFonts w:ascii="Times New Roman" w:hAnsi="Times New Roman" w:cs="Times New Roman"/>
          <w:lang w:val="tr-TR"/>
        </w:rPr>
        <w:t xml:space="preserve">– </w:t>
      </w:r>
      <w:r w:rsidR="00875153" w:rsidRPr="009C2113">
        <w:rPr>
          <w:rFonts w:ascii="Times New Roman" w:hAnsi="Times New Roman" w:cs="Times New Roman"/>
          <w:lang w:val="tr-TR"/>
        </w:rPr>
        <w:t xml:space="preserve">7,8 </w:t>
      </w:r>
      <w:r w:rsidRPr="009C2113">
        <w:rPr>
          <w:rFonts w:ascii="Times New Roman" w:hAnsi="Times New Roman" w:cs="Times New Roman"/>
          <w:lang w:val="tr-TR"/>
        </w:rPr>
        <w:t xml:space="preserve">kat </w:t>
      </w:r>
      <w:r w:rsidR="00875153" w:rsidRPr="009C2113">
        <w:rPr>
          <w:rFonts w:ascii="Times New Roman" w:hAnsi="Times New Roman" w:cs="Times New Roman"/>
          <w:lang w:val="tr-TR"/>
        </w:rPr>
        <w:t>büyümüştür. Çuy, Isı</w:t>
      </w:r>
      <w:r w:rsidRPr="009C2113">
        <w:rPr>
          <w:rFonts w:ascii="Times New Roman" w:hAnsi="Times New Roman" w:cs="Times New Roman"/>
          <w:lang w:val="tr-TR"/>
        </w:rPr>
        <w:t>k-</w:t>
      </w:r>
      <w:r w:rsidR="00454144" w:rsidRPr="009C2113">
        <w:rPr>
          <w:rFonts w:ascii="Times New Roman" w:hAnsi="Times New Roman" w:cs="Times New Roman"/>
          <w:lang w:val="tr-TR"/>
        </w:rPr>
        <w:t>Gö</w:t>
      </w:r>
      <w:r w:rsidRPr="009C2113">
        <w:rPr>
          <w:rFonts w:ascii="Times New Roman" w:hAnsi="Times New Roman" w:cs="Times New Roman"/>
          <w:lang w:val="tr-TR"/>
        </w:rPr>
        <w:t>l bölgeleri ve Bişkek şehri gelirler</w:t>
      </w:r>
      <w:r w:rsidR="00454144" w:rsidRPr="009C2113">
        <w:rPr>
          <w:rFonts w:ascii="Times New Roman" w:hAnsi="Times New Roman" w:cs="Times New Roman"/>
          <w:lang w:val="tr-TR"/>
        </w:rPr>
        <w:t>i</w:t>
      </w:r>
      <w:r w:rsidRPr="009C2113">
        <w:rPr>
          <w:rFonts w:ascii="Times New Roman" w:hAnsi="Times New Roman" w:cs="Times New Roman"/>
          <w:lang w:val="tr-TR"/>
        </w:rPr>
        <w:t xml:space="preserve"> hemen hemen aynı büyüme oranlarıyla karakterize edilmiştir.</w:t>
      </w:r>
    </w:p>
    <w:p w14:paraId="20EE855C" w14:textId="77777777" w:rsidR="00545936" w:rsidRPr="009C2113" w:rsidRDefault="00545936" w:rsidP="00BF339E">
      <w:pPr>
        <w:spacing w:after="0"/>
        <w:ind w:firstLine="567"/>
        <w:jc w:val="both"/>
        <w:rPr>
          <w:rFonts w:ascii="Times New Roman" w:hAnsi="Times New Roman" w:cs="Times New Roman"/>
          <w:lang w:val="tr-TR"/>
        </w:rPr>
      </w:pPr>
      <w:r w:rsidRPr="009C2113">
        <w:rPr>
          <w:rFonts w:ascii="Times New Roman" w:hAnsi="Times New Roman" w:cs="Times New Roman"/>
          <w:lang w:val="tr-TR"/>
        </w:rPr>
        <w:t xml:space="preserve">Bazı bölgeler için düşük istatistiklerin nedenleri, sağlanan tıbbi hizmetlerin düşük düzeyde olması, maddi ve teknik temelin olmamasıdır. Bu nedenle hastalar daha çok </w:t>
      </w:r>
      <w:r w:rsidR="00875153" w:rsidRPr="009C2113">
        <w:rPr>
          <w:rFonts w:ascii="Times New Roman" w:hAnsi="Times New Roman" w:cs="Times New Roman"/>
          <w:lang w:val="tr-TR"/>
        </w:rPr>
        <w:t>C</w:t>
      </w:r>
      <w:r w:rsidRPr="009C2113">
        <w:rPr>
          <w:rFonts w:ascii="Times New Roman" w:hAnsi="Times New Roman" w:cs="Times New Roman"/>
          <w:lang w:val="tr-TR"/>
        </w:rPr>
        <w:t>umhuriyetin başkenti Bişkek ve bölge merkezlerindeki tıbbi kurumlara yönelmektedir.</w:t>
      </w:r>
    </w:p>
    <w:p w14:paraId="797ED7EF" w14:textId="697FBA26" w:rsidR="000E4BD4" w:rsidRPr="007D507F" w:rsidRDefault="00651CA9" w:rsidP="007D507F">
      <w:pPr>
        <w:spacing w:after="0" w:line="240" w:lineRule="auto"/>
        <w:ind w:firstLine="567"/>
        <w:jc w:val="both"/>
        <w:rPr>
          <w:rFonts w:ascii="Times New Roman" w:hAnsi="Times New Roman" w:cs="Times New Roman"/>
          <w:sz w:val="24"/>
          <w:szCs w:val="24"/>
          <w:lang w:val="tr-TR"/>
        </w:rPr>
      </w:pPr>
      <w:r w:rsidRPr="007D507F">
        <w:rPr>
          <w:rFonts w:ascii="Times New Roman" w:hAnsi="Times New Roman" w:cs="Times New Roman"/>
          <w:sz w:val="24"/>
          <w:szCs w:val="24"/>
          <w:lang w:val="tr-TR"/>
        </w:rPr>
        <w:lastRenderedPageBreak/>
        <w:t xml:space="preserve">Tablo </w:t>
      </w:r>
      <w:r w:rsidR="00B07695" w:rsidRPr="007D507F">
        <w:rPr>
          <w:rFonts w:ascii="Times New Roman" w:hAnsi="Times New Roman" w:cs="Times New Roman"/>
          <w:sz w:val="24"/>
          <w:szCs w:val="24"/>
          <w:lang w:val="tr-TR"/>
        </w:rPr>
        <w:t>4</w:t>
      </w:r>
      <w:r w:rsidR="000E4BD4" w:rsidRPr="007D507F">
        <w:rPr>
          <w:rFonts w:ascii="Times New Roman" w:hAnsi="Times New Roman" w:cs="Times New Roman"/>
          <w:sz w:val="24"/>
          <w:szCs w:val="24"/>
          <w:lang w:val="tr-TR"/>
        </w:rPr>
        <w:t xml:space="preserve">, 2009-2016 dönemi için bölgesel bağlamda özel </w:t>
      </w:r>
      <w:r w:rsidR="00DC7E52" w:rsidRPr="007D507F">
        <w:rPr>
          <w:rFonts w:ascii="Times New Roman" w:hAnsi="Times New Roman" w:cs="Times New Roman"/>
          <w:sz w:val="24"/>
          <w:szCs w:val="24"/>
          <w:lang w:val="tr-TR"/>
        </w:rPr>
        <w:t xml:space="preserve">fonların </w:t>
      </w:r>
      <w:r w:rsidR="000E4BD4" w:rsidRPr="007D507F">
        <w:rPr>
          <w:rFonts w:ascii="Times New Roman" w:hAnsi="Times New Roman" w:cs="Times New Roman"/>
          <w:sz w:val="24"/>
          <w:szCs w:val="24"/>
          <w:lang w:val="tr-TR"/>
        </w:rPr>
        <w:t xml:space="preserve">alınmasına ilişkin verileri </w:t>
      </w:r>
      <w:r w:rsidR="0013783A" w:rsidRPr="007D507F">
        <w:rPr>
          <w:rFonts w:ascii="Times New Roman" w:hAnsi="Times New Roman" w:cs="Times New Roman"/>
          <w:sz w:val="24"/>
          <w:szCs w:val="24"/>
          <w:lang w:val="tr-TR"/>
        </w:rPr>
        <w:t>sunmaktadır</w:t>
      </w:r>
      <w:r w:rsidR="000E4BD4" w:rsidRPr="007D507F">
        <w:rPr>
          <w:rFonts w:ascii="Times New Roman" w:hAnsi="Times New Roman" w:cs="Times New Roman"/>
          <w:sz w:val="24"/>
          <w:szCs w:val="24"/>
          <w:lang w:val="tr-TR"/>
        </w:rPr>
        <w:t>.</w:t>
      </w:r>
      <w:r w:rsidR="005E4A12">
        <w:rPr>
          <w:rFonts w:ascii="Times New Roman" w:hAnsi="Times New Roman" w:cs="Times New Roman"/>
          <w:sz w:val="24"/>
          <w:szCs w:val="24"/>
          <w:lang w:val="tr-TR"/>
        </w:rPr>
        <w:t xml:space="preserve"> </w:t>
      </w:r>
      <w:r w:rsidR="000E4BD4" w:rsidRPr="007D507F">
        <w:rPr>
          <w:rFonts w:ascii="Times New Roman" w:hAnsi="Times New Roman" w:cs="Times New Roman"/>
          <w:sz w:val="24"/>
          <w:szCs w:val="24"/>
          <w:lang w:val="tr-TR"/>
        </w:rPr>
        <w:t>Yukarıda belirtildiği gibi, mevcut tarifeler güncelliğini yitirmiştir ve aslında gayri resmi olarak ödenen tüm sağlık hizmetlerini kapsamamaktadır.</w:t>
      </w:r>
    </w:p>
    <w:p w14:paraId="122EF0E6" w14:textId="77777777" w:rsidR="00730186" w:rsidRPr="007D507F" w:rsidRDefault="00730186" w:rsidP="007D507F">
      <w:pPr>
        <w:spacing w:after="0" w:line="240" w:lineRule="auto"/>
        <w:ind w:firstLine="567"/>
        <w:jc w:val="both"/>
        <w:rPr>
          <w:rFonts w:ascii="Times New Roman" w:hAnsi="Times New Roman" w:cs="Times New Roman"/>
          <w:sz w:val="24"/>
          <w:szCs w:val="24"/>
          <w:lang w:val="tr-TR"/>
        </w:rPr>
      </w:pPr>
    </w:p>
    <w:p w14:paraId="2DDC71CF" w14:textId="6F96AC82" w:rsidR="00690043" w:rsidRPr="005E4A12" w:rsidRDefault="00DA69EF" w:rsidP="005E4A12">
      <w:pPr>
        <w:pStyle w:val="a4"/>
        <w:numPr>
          <w:ilvl w:val="0"/>
          <w:numId w:val="11"/>
        </w:numPr>
        <w:shd w:val="clear" w:color="auto" w:fill="FFFFFF"/>
        <w:spacing w:after="0" w:line="240" w:lineRule="auto"/>
        <w:ind w:left="567" w:hanging="283"/>
        <w:jc w:val="both"/>
        <w:rPr>
          <w:rFonts w:ascii="Times New Roman" w:hAnsi="Times New Roman" w:cs="Times New Roman"/>
          <w:b/>
          <w:sz w:val="24"/>
          <w:szCs w:val="24"/>
          <w:shd w:val="clear" w:color="auto" w:fill="FFFFFF"/>
          <w:lang w:val="tr-TR"/>
        </w:rPr>
      </w:pPr>
      <w:r w:rsidRPr="005E4A12">
        <w:rPr>
          <w:rFonts w:ascii="Times New Roman" w:hAnsi="Times New Roman" w:cs="Times New Roman"/>
          <w:b/>
          <w:sz w:val="24"/>
          <w:szCs w:val="24"/>
          <w:shd w:val="clear" w:color="auto" w:fill="FFFFFF"/>
          <w:lang w:val="tr-TR"/>
        </w:rPr>
        <w:t>Katkı payı</w:t>
      </w:r>
    </w:p>
    <w:p w14:paraId="7D06EC42" w14:textId="77777777" w:rsidR="00E51141" w:rsidRPr="007D507F" w:rsidRDefault="00E51141" w:rsidP="007D507F">
      <w:pPr>
        <w:shd w:val="clear" w:color="auto" w:fill="FFFFFF"/>
        <w:spacing w:after="0" w:line="240" w:lineRule="auto"/>
        <w:ind w:firstLine="567"/>
        <w:rPr>
          <w:rFonts w:ascii="Times New Roman" w:hAnsi="Times New Roman" w:cs="Times New Roman"/>
          <w:color w:val="4F81BD" w:themeColor="accent1"/>
          <w:sz w:val="24"/>
          <w:szCs w:val="24"/>
          <w:shd w:val="clear" w:color="auto" w:fill="FFFFFF"/>
          <w:lang w:val="tr-TR"/>
        </w:rPr>
      </w:pPr>
      <w:r w:rsidRPr="007D507F">
        <w:rPr>
          <w:rFonts w:ascii="Times New Roman" w:hAnsi="Times New Roman" w:cs="Times New Roman"/>
          <w:b/>
          <w:color w:val="4F81BD" w:themeColor="accent1"/>
          <w:sz w:val="24"/>
          <w:szCs w:val="24"/>
          <w:shd w:val="clear" w:color="auto" w:fill="FFFFFF"/>
          <w:lang w:val="tr-TR"/>
        </w:rPr>
        <w:t xml:space="preserve"> </w:t>
      </w:r>
    </w:p>
    <w:p w14:paraId="0DA2ACEC" w14:textId="0ABE5123" w:rsidR="006233C2" w:rsidRPr="007D507F" w:rsidRDefault="006233C2"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 xml:space="preserve">Devlet Garanti Programı kapsamında </w:t>
      </w:r>
      <w:r w:rsidR="00DA69EF" w:rsidRPr="007D507F">
        <w:rPr>
          <w:rFonts w:ascii="Times New Roman" w:eastAsia="Times New Roman" w:hAnsi="Times New Roman" w:cs="Times New Roman"/>
          <w:sz w:val="24"/>
          <w:szCs w:val="24"/>
          <w:shd w:val="clear" w:color="auto" w:fill="FFFFFF"/>
          <w:lang w:val="tr-TR" w:eastAsia="ru-RU"/>
        </w:rPr>
        <w:t>Tek Ödeme</w:t>
      </w:r>
      <w:r w:rsidRPr="007D507F">
        <w:rPr>
          <w:rFonts w:ascii="Times New Roman" w:eastAsia="Times New Roman" w:hAnsi="Times New Roman" w:cs="Times New Roman"/>
          <w:sz w:val="24"/>
          <w:szCs w:val="24"/>
          <w:shd w:val="clear" w:color="auto" w:fill="FFFFFF"/>
          <w:lang w:val="tr-TR" w:eastAsia="ru-RU"/>
        </w:rPr>
        <w:t xml:space="preserve"> </w:t>
      </w:r>
      <w:r w:rsidR="00DA69EF" w:rsidRPr="007D507F">
        <w:rPr>
          <w:rFonts w:ascii="Times New Roman" w:eastAsia="Times New Roman" w:hAnsi="Times New Roman" w:cs="Times New Roman"/>
          <w:sz w:val="24"/>
          <w:szCs w:val="24"/>
          <w:shd w:val="clear" w:color="auto" w:fill="FFFFFF"/>
          <w:lang w:val="tr-TR" w:eastAsia="ru-RU"/>
        </w:rPr>
        <w:t>S</w:t>
      </w:r>
      <w:r w:rsidRPr="007D507F">
        <w:rPr>
          <w:rFonts w:ascii="Times New Roman" w:eastAsia="Times New Roman" w:hAnsi="Times New Roman" w:cs="Times New Roman"/>
          <w:sz w:val="24"/>
          <w:szCs w:val="24"/>
          <w:shd w:val="clear" w:color="auto" w:fill="FFFFFF"/>
          <w:lang w:val="tr-TR" w:eastAsia="ru-RU"/>
        </w:rPr>
        <w:t xml:space="preserve">istemine </w:t>
      </w:r>
      <w:r w:rsidR="008C2632" w:rsidRPr="007D507F">
        <w:rPr>
          <w:rFonts w:ascii="Times New Roman" w:eastAsia="Times New Roman" w:hAnsi="Times New Roman" w:cs="Times New Roman"/>
          <w:sz w:val="24"/>
          <w:szCs w:val="24"/>
          <w:shd w:val="clear" w:color="auto" w:fill="FFFFFF"/>
          <w:lang w:val="tr-TR" w:eastAsia="ru-RU"/>
        </w:rPr>
        <w:t>dâhil</w:t>
      </w:r>
      <w:r w:rsidRPr="007D507F">
        <w:rPr>
          <w:rFonts w:ascii="Times New Roman" w:eastAsia="Times New Roman" w:hAnsi="Times New Roman" w:cs="Times New Roman"/>
          <w:sz w:val="24"/>
          <w:szCs w:val="24"/>
          <w:shd w:val="clear" w:color="auto" w:fill="FFFFFF"/>
          <w:lang w:val="tr-TR" w:eastAsia="ru-RU"/>
        </w:rPr>
        <w:t xml:space="preserve"> olan sağlık kurumlarının aldığı fonlara ek olarak, katkı payı şeklinde ek bir finansman kaynağı bulunmaktadır. Katkı payı, hastanın ayakta tedavi ve yatarak tedavi ortamlarında kendisine sağlanan tıbbi hizmetlere katkıda bulunduğu vatan</w:t>
      </w:r>
      <w:r w:rsidR="00DF6B52" w:rsidRPr="007D507F">
        <w:rPr>
          <w:rFonts w:ascii="Times New Roman" w:eastAsia="Times New Roman" w:hAnsi="Times New Roman" w:cs="Times New Roman"/>
          <w:sz w:val="24"/>
          <w:szCs w:val="24"/>
          <w:shd w:val="clear" w:color="auto" w:fill="FFFFFF"/>
          <w:lang w:val="tr-TR" w:eastAsia="ru-RU"/>
        </w:rPr>
        <w:t xml:space="preserve">daşların fonlarını temsil eder. </w:t>
      </w:r>
      <w:r w:rsidRPr="007D507F">
        <w:rPr>
          <w:rFonts w:ascii="Times New Roman" w:eastAsia="Times New Roman" w:hAnsi="Times New Roman" w:cs="Times New Roman"/>
          <w:sz w:val="24"/>
          <w:szCs w:val="24"/>
          <w:shd w:val="clear" w:color="auto" w:fill="FFFFFF"/>
          <w:lang w:val="tr-TR" w:eastAsia="ru-RU"/>
        </w:rPr>
        <w:t>Katkı payının önemli bir özelliği vergilendirilmemesi ve devlet bütçesinden çekilmemesidir.</w:t>
      </w:r>
    </w:p>
    <w:p w14:paraId="34D08079" w14:textId="77777777" w:rsidR="006233C2" w:rsidRPr="007D507F" w:rsidRDefault="006233C2"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 xml:space="preserve">Katkı payının miktarı sağlanan hizmetin türüne bağlıdır. Hastane ortamında cerrahi ve tedavi hizmetleri için verilmekte olup, katkı payı miktarı 2015 yılında onaylanan Devlet Garanti Programı ile belirlenmektedir. Ayakta tedavi koşullarında vatandaşlar, laboratuvar ve tanı testleri için </w:t>
      </w:r>
      <w:r w:rsidR="008F6B5C" w:rsidRPr="007D507F">
        <w:rPr>
          <w:rFonts w:ascii="Times New Roman" w:eastAsia="Times New Roman" w:hAnsi="Times New Roman" w:cs="Times New Roman"/>
          <w:sz w:val="24"/>
          <w:szCs w:val="24"/>
          <w:shd w:val="clear" w:color="auto" w:fill="FFFFFF"/>
          <w:lang w:val="tr-TR" w:eastAsia="ru-RU"/>
        </w:rPr>
        <w:t xml:space="preserve">katkı payına katılım sağlamaktadırlar. Bu </w:t>
      </w:r>
      <w:r w:rsidR="00B314BE" w:rsidRPr="007D507F">
        <w:rPr>
          <w:rFonts w:ascii="Times New Roman" w:eastAsia="Times New Roman" w:hAnsi="Times New Roman" w:cs="Times New Roman"/>
          <w:sz w:val="24"/>
          <w:szCs w:val="24"/>
          <w:shd w:val="clear" w:color="auto" w:fill="FFFFFF"/>
          <w:lang w:val="tr-TR" w:eastAsia="ru-RU"/>
        </w:rPr>
        <w:t>testler</w:t>
      </w:r>
      <w:r w:rsidRPr="007D507F">
        <w:rPr>
          <w:rFonts w:ascii="Times New Roman" w:eastAsia="Times New Roman" w:hAnsi="Times New Roman" w:cs="Times New Roman"/>
          <w:sz w:val="24"/>
          <w:szCs w:val="24"/>
          <w:shd w:val="clear" w:color="auto" w:fill="FFFFFF"/>
          <w:lang w:val="tr-TR" w:eastAsia="ru-RU"/>
        </w:rPr>
        <w:t xml:space="preserve"> </w:t>
      </w:r>
      <w:r w:rsidR="008F6B5C" w:rsidRPr="007D507F">
        <w:rPr>
          <w:rFonts w:ascii="Times New Roman" w:eastAsia="Times New Roman" w:hAnsi="Times New Roman" w:cs="Times New Roman"/>
          <w:sz w:val="24"/>
          <w:szCs w:val="24"/>
          <w:shd w:val="clear" w:color="auto" w:fill="FFFFFF"/>
          <w:lang w:val="tr-TR" w:eastAsia="ru-RU"/>
        </w:rPr>
        <w:t>a</w:t>
      </w:r>
      <w:r w:rsidRPr="007D507F">
        <w:rPr>
          <w:rFonts w:ascii="Times New Roman" w:eastAsia="Times New Roman" w:hAnsi="Times New Roman" w:cs="Times New Roman"/>
          <w:sz w:val="24"/>
          <w:szCs w:val="24"/>
          <w:shd w:val="clear" w:color="auto" w:fill="FFFFFF"/>
          <w:lang w:val="tr-TR" w:eastAsia="ru-RU"/>
        </w:rPr>
        <w:t>ile hekimliği merkezleri, genel pratisyenlik merkezleri, hastanelerin genel profilinin ayakta tedavi tanı bölümleri ve üçüncü basamak danışma ve tanı bölümleri tarafından yürütülmektedir.</w:t>
      </w:r>
      <w:r w:rsidR="00B314BE" w:rsidRPr="007D507F">
        <w:rPr>
          <w:rFonts w:ascii="Times New Roman" w:eastAsia="Times New Roman" w:hAnsi="Times New Roman" w:cs="Times New Roman"/>
          <w:sz w:val="24"/>
          <w:szCs w:val="24"/>
          <w:shd w:val="clear" w:color="auto" w:fill="FFFFFF"/>
          <w:lang w:val="tr-TR" w:eastAsia="ru-RU"/>
        </w:rPr>
        <w:t xml:space="preserve"> Bu uygulamanın i</w:t>
      </w:r>
      <w:r w:rsidRPr="007D507F">
        <w:rPr>
          <w:rFonts w:ascii="Times New Roman" w:eastAsia="Times New Roman" w:hAnsi="Times New Roman" w:cs="Times New Roman"/>
          <w:sz w:val="24"/>
          <w:szCs w:val="24"/>
          <w:shd w:val="clear" w:color="auto" w:fill="FFFFFF"/>
          <w:lang w:val="tr-TR" w:eastAsia="ru-RU"/>
        </w:rPr>
        <w:t>stisna</w:t>
      </w:r>
      <w:r w:rsidR="00B314BE" w:rsidRPr="007D507F">
        <w:rPr>
          <w:rFonts w:ascii="Times New Roman" w:eastAsia="Times New Roman" w:hAnsi="Times New Roman" w:cs="Times New Roman"/>
          <w:sz w:val="24"/>
          <w:szCs w:val="24"/>
          <w:shd w:val="clear" w:color="auto" w:fill="FFFFFF"/>
          <w:lang w:val="tr-TR" w:eastAsia="ru-RU"/>
        </w:rPr>
        <w:t>sı</w:t>
      </w:r>
      <w:r w:rsidRPr="007D507F">
        <w:rPr>
          <w:rFonts w:ascii="Times New Roman" w:eastAsia="Times New Roman" w:hAnsi="Times New Roman" w:cs="Times New Roman"/>
          <w:sz w:val="24"/>
          <w:szCs w:val="24"/>
          <w:shd w:val="clear" w:color="auto" w:fill="FFFFFF"/>
          <w:lang w:val="tr-TR" w:eastAsia="ru-RU"/>
        </w:rPr>
        <w:t xml:space="preserve">, Devlet Garanti Programı uyarınca ücretsiz olarak sağlanan temel </w:t>
      </w:r>
      <w:r w:rsidR="00B314BE" w:rsidRPr="007D507F">
        <w:rPr>
          <w:rFonts w:ascii="Times New Roman" w:eastAsia="Times New Roman" w:hAnsi="Times New Roman" w:cs="Times New Roman"/>
          <w:sz w:val="24"/>
          <w:szCs w:val="24"/>
          <w:shd w:val="clear" w:color="auto" w:fill="FFFFFF"/>
          <w:lang w:val="tr-TR" w:eastAsia="ru-RU"/>
        </w:rPr>
        <w:t xml:space="preserve">sağlık </w:t>
      </w:r>
      <w:r w:rsidRPr="007D507F">
        <w:rPr>
          <w:rFonts w:ascii="Times New Roman" w:eastAsia="Times New Roman" w:hAnsi="Times New Roman" w:cs="Times New Roman"/>
          <w:sz w:val="24"/>
          <w:szCs w:val="24"/>
          <w:shd w:val="clear" w:color="auto" w:fill="FFFFFF"/>
          <w:lang w:val="tr-TR" w:eastAsia="ru-RU"/>
        </w:rPr>
        <w:t>ve teşhis çalışmalarıdır.</w:t>
      </w:r>
    </w:p>
    <w:p w14:paraId="3DDD7846" w14:textId="77777777" w:rsidR="006233C2" w:rsidRPr="007D507F" w:rsidRDefault="006233C2"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Katkı payı birçok ülkede aşırı tüketim için bir tür sınırlayıcıdır. Ne de olsa hasta, sigorta fonlarıyla birli</w:t>
      </w:r>
      <w:r w:rsidR="00B55FCB" w:rsidRPr="007D507F">
        <w:rPr>
          <w:rFonts w:ascii="Times New Roman" w:eastAsia="Times New Roman" w:hAnsi="Times New Roman" w:cs="Times New Roman"/>
          <w:sz w:val="24"/>
          <w:szCs w:val="24"/>
          <w:shd w:val="clear" w:color="auto" w:fill="FFFFFF"/>
          <w:lang w:val="tr-TR" w:eastAsia="ru-RU"/>
        </w:rPr>
        <w:t xml:space="preserve">kte </w:t>
      </w:r>
      <w:r w:rsidRPr="007D507F">
        <w:rPr>
          <w:rFonts w:ascii="Times New Roman" w:eastAsia="Times New Roman" w:hAnsi="Times New Roman" w:cs="Times New Roman"/>
          <w:sz w:val="24"/>
          <w:szCs w:val="24"/>
          <w:shd w:val="clear" w:color="auto" w:fill="FFFFFF"/>
          <w:lang w:val="tr-TR" w:eastAsia="ru-RU"/>
        </w:rPr>
        <w:t>sağlık sistemi tarafından sağlanan hizmetler için yapılan ödemelere katılımcı olur. Ödeme, tüketiciye sunulan her hizmet için yapılır ve sağlık hizmeti sunucuları için ek finansman kaynakları anlamına gelir.</w:t>
      </w:r>
    </w:p>
    <w:p w14:paraId="745BF8DB" w14:textId="77777777" w:rsidR="006233C2" w:rsidRPr="007D507F" w:rsidRDefault="006233C2"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 xml:space="preserve">Mali taraflar bir ödeme planı üzerinde anlaşırlar. Bu tür üç şema bilinmektedir. Birincisi alıkoyma, ikincisi </w:t>
      </w:r>
      <w:r w:rsidR="00B07695" w:rsidRPr="007D507F">
        <w:rPr>
          <w:rFonts w:ascii="Times New Roman" w:eastAsia="Times New Roman" w:hAnsi="Times New Roman" w:cs="Times New Roman"/>
          <w:sz w:val="24"/>
          <w:szCs w:val="24"/>
          <w:shd w:val="clear" w:color="auto" w:fill="FFFFFF"/>
          <w:lang w:val="tr-TR" w:eastAsia="ru-RU"/>
        </w:rPr>
        <w:t xml:space="preserve">müşterek katılım </w:t>
      </w:r>
      <w:r w:rsidRPr="007D507F">
        <w:rPr>
          <w:rFonts w:ascii="Times New Roman" w:eastAsia="Times New Roman" w:hAnsi="Times New Roman" w:cs="Times New Roman"/>
          <w:sz w:val="24"/>
          <w:szCs w:val="24"/>
          <w:shd w:val="clear" w:color="auto" w:fill="FFFFFF"/>
          <w:lang w:val="tr-TR" w:eastAsia="ru-RU"/>
        </w:rPr>
        <w:t>ve üçüncüsü</w:t>
      </w:r>
      <w:r w:rsidR="00B314BE" w:rsidRPr="007D507F">
        <w:rPr>
          <w:rFonts w:ascii="Times New Roman" w:eastAsia="Times New Roman" w:hAnsi="Times New Roman" w:cs="Times New Roman"/>
          <w:sz w:val="24"/>
          <w:szCs w:val="24"/>
          <w:shd w:val="clear" w:color="auto" w:fill="FFFFFF"/>
          <w:lang w:val="tr-TR" w:eastAsia="ru-RU"/>
        </w:rPr>
        <w:t xml:space="preserve"> </w:t>
      </w:r>
      <w:r w:rsidR="00B07695" w:rsidRPr="007D507F">
        <w:rPr>
          <w:rFonts w:ascii="Times New Roman" w:eastAsia="Times New Roman" w:hAnsi="Times New Roman" w:cs="Times New Roman"/>
          <w:sz w:val="24"/>
          <w:szCs w:val="24"/>
          <w:shd w:val="clear" w:color="auto" w:fill="FFFFFF"/>
          <w:lang w:val="tr-TR" w:eastAsia="ru-RU"/>
        </w:rPr>
        <w:t>müşterek sigorta</w:t>
      </w:r>
      <w:r w:rsidR="00B314BE" w:rsidRPr="007D507F">
        <w:rPr>
          <w:rFonts w:ascii="Times New Roman" w:eastAsia="Times New Roman" w:hAnsi="Times New Roman" w:cs="Times New Roman"/>
          <w:sz w:val="24"/>
          <w:szCs w:val="24"/>
          <w:shd w:val="clear" w:color="auto" w:fill="FFFFFF"/>
          <w:lang w:val="tr-TR" w:eastAsia="ru-RU"/>
        </w:rPr>
        <w:t>dır</w:t>
      </w:r>
      <w:r w:rsidRPr="007D507F">
        <w:rPr>
          <w:rFonts w:ascii="Times New Roman" w:eastAsia="Times New Roman" w:hAnsi="Times New Roman" w:cs="Times New Roman"/>
          <w:sz w:val="24"/>
          <w:szCs w:val="24"/>
          <w:shd w:val="clear" w:color="auto" w:fill="FFFFFF"/>
          <w:lang w:val="tr-TR" w:eastAsia="ru-RU"/>
        </w:rPr>
        <w:t>. Her birinin kendine has özellikleri vardır. Batı ülkeleri, yüksek düzeyde bir halk sağlığına sahip oldukları için çeşitli katkı ödemelerine en yatkın ülkelerdir. Katkı payı miktarı, sağlık hizmetlerinin gelişim düzeyine göre b</w:t>
      </w:r>
      <w:r w:rsidR="00B55FCB" w:rsidRPr="007D507F">
        <w:rPr>
          <w:rFonts w:ascii="Times New Roman" w:eastAsia="Times New Roman" w:hAnsi="Times New Roman" w:cs="Times New Roman"/>
          <w:sz w:val="24"/>
          <w:szCs w:val="24"/>
          <w:shd w:val="clear" w:color="auto" w:fill="FFFFFF"/>
          <w:lang w:val="tr-TR" w:eastAsia="ru-RU"/>
        </w:rPr>
        <w:t>elirlenir. İsveç’</w:t>
      </w:r>
      <w:r w:rsidR="00C72AAA" w:rsidRPr="007D507F">
        <w:rPr>
          <w:rFonts w:ascii="Times New Roman" w:eastAsia="Times New Roman" w:hAnsi="Times New Roman" w:cs="Times New Roman"/>
          <w:sz w:val="24"/>
          <w:szCs w:val="24"/>
          <w:shd w:val="clear" w:color="auto" w:fill="FFFFFF"/>
          <w:lang w:val="tr-TR" w:eastAsia="ru-RU"/>
        </w:rPr>
        <w:t>te tamamen sembolik</w:t>
      </w:r>
      <w:r w:rsidR="00B55FCB" w:rsidRPr="007D507F">
        <w:rPr>
          <w:rFonts w:ascii="Times New Roman" w:eastAsia="Times New Roman" w:hAnsi="Times New Roman" w:cs="Times New Roman"/>
          <w:sz w:val="24"/>
          <w:szCs w:val="24"/>
          <w:shd w:val="clear" w:color="auto" w:fill="FFFFFF"/>
          <w:lang w:val="tr-TR" w:eastAsia="ru-RU"/>
        </w:rPr>
        <w:t>, Fransa’</w:t>
      </w:r>
      <w:r w:rsidRPr="007D507F">
        <w:rPr>
          <w:rFonts w:ascii="Times New Roman" w:eastAsia="Times New Roman" w:hAnsi="Times New Roman" w:cs="Times New Roman"/>
          <w:sz w:val="24"/>
          <w:szCs w:val="24"/>
          <w:shd w:val="clear" w:color="auto" w:fill="FFFFFF"/>
          <w:lang w:val="tr-TR" w:eastAsia="ru-RU"/>
        </w:rPr>
        <w:t>da</w:t>
      </w:r>
      <w:r w:rsidR="00B55FCB" w:rsidRPr="007D507F">
        <w:rPr>
          <w:rFonts w:ascii="Times New Roman" w:eastAsia="Times New Roman" w:hAnsi="Times New Roman" w:cs="Times New Roman"/>
          <w:sz w:val="24"/>
          <w:szCs w:val="24"/>
          <w:shd w:val="clear" w:color="auto" w:fill="FFFFFF"/>
          <w:lang w:val="tr-TR" w:eastAsia="ru-RU"/>
        </w:rPr>
        <w:t xml:space="preserve"> ise –</w:t>
      </w:r>
      <w:r w:rsidRPr="007D507F">
        <w:rPr>
          <w:rFonts w:ascii="Times New Roman" w:eastAsia="Times New Roman" w:hAnsi="Times New Roman" w:cs="Times New Roman"/>
          <w:sz w:val="24"/>
          <w:szCs w:val="24"/>
          <w:shd w:val="clear" w:color="auto" w:fill="FFFFFF"/>
          <w:lang w:val="tr-TR" w:eastAsia="ru-RU"/>
        </w:rPr>
        <w:t xml:space="preserve"> yüksek</w:t>
      </w:r>
      <w:r w:rsidR="00B55FCB" w:rsidRPr="007D507F">
        <w:rPr>
          <w:rFonts w:ascii="Times New Roman" w:eastAsia="Times New Roman" w:hAnsi="Times New Roman" w:cs="Times New Roman"/>
          <w:sz w:val="24"/>
          <w:szCs w:val="24"/>
          <w:shd w:val="clear" w:color="auto" w:fill="FFFFFF"/>
          <w:lang w:val="tr-TR" w:eastAsia="ru-RU"/>
        </w:rPr>
        <w:t xml:space="preserve"> </w:t>
      </w:r>
      <w:r w:rsidR="00B314BE" w:rsidRPr="007D507F">
        <w:rPr>
          <w:rFonts w:ascii="Times New Roman" w:eastAsia="Times New Roman" w:hAnsi="Times New Roman" w:cs="Times New Roman"/>
          <w:sz w:val="24"/>
          <w:szCs w:val="24"/>
          <w:shd w:val="clear" w:color="auto" w:fill="FFFFFF"/>
          <w:lang w:val="tr-TR" w:eastAsia="ru-RU"/>
        </w:rPr>
        <w:t xml:space="preserve">olarak </w:t>
      </w:r>
      <w:r w:rsidR="00B55FCB" w:rsidRPr="007D507F">
        <w:rPr>
          <w:rFonts w:ascii="Times New Roman" w:eastAsia="Times New Roman" w:hAnsi="Times New Roman" w:cs="Times New Roman"/>
          <w:sz w:val="24"/>
          <w:szCs w:val="24"/>
          <w:shd w:val="clear" w:color="auto" w:fill="FFFFFF"/>
          <w:lang w:val="tr-TR" w:eastAsia="ru-RU"/>
        </w:rPr>
        <w:t>kabul edilir</w:t>
      </w:r>
      <w:r w:rsidRPr="007D507F">
        <w:rPr>
          <w:rFonts w:ascii="Times New Roman" w:eastAsia="Times New Roman" w:hAnsi="Times New Roman" w:cs="Times New Roman"/>
          <w:sz w:val="24"/>
          <w:szCs w:val="24"/>
          <w:shd w:val="clear" w:color="auto" w:fill="FFFFFF"/>
          <w:lang w:val="tr-TR" w:eastAsia="ru-RU"/>
        </w:rPr>
        <w:t>.</w:t>
      </w:r>
      <w:r w:rsidR="00B55FCB" w:rsidRPr="007D507F">
        <w:rPr>
          <w:rFonts w:ascii="Times New Roman" w:eastAsia="Times New Roman" w:hAnsi="Times New Roman" w:cs="Times New Roman"/>
          <w:sz w:val="24"/>
          <w:szCs w:val="24"/>
          <w:shd w:val="clear" w:color="auto" w:fill="FFFFFF"/>
          <w:lang w:val="tr-TR" w:eastAsia="ru-RU"/>
        </w:rPr>
        <w:t xml:space="preserve"> Kırgızistan’da, Rusya’</w:t>
      </w:r>
      <w:r w:rsidRPr="007D507F">
        <w:rPr>
          <w:rFonts w:ascii="Times New Roman" w:eastAsia="Times New Roman" w:hAnsi="Times New Roman" w:cs="Times New Roman"/>
          <w:sz w:val="24"/>
          <w:szCs w:val="24"/>
          <w:shd w:val="clear" w:color="auto" w:fill="FFFFFF"/>
          <w:lang w:val="tr-TR" w:eastAsia="ru-RU"/>
        </w:rPr>
        <w:t xml:space="preserve">da olduğu gibi “ayni ödeme” </w:t>
      </w:r>
      <w:r w:rsidR="00B55FCB" w:rsidRPr="007D507F">
        <w:rPr>
          <w:rFonts w:ascii="Times New Roman" w:eastAsia="Times New Roman" w:hAnsi="Times New Roman" w:cs="Times New Roman"/>
          <w:sz w:val="24"/>
          <w:szCs w:val="24"/>
          <w:shd w:val="clear" w:color="auto" w:fill="FFFFFF"/>
          <w:lang w:val="tr-TR" w:eastAsia="ru-RU"/>
        </w:rPr>
        <w:t xml:space="preserve">olarak </w:t>
      </w:r>
      <w:r w:rsidRPr="007D507F">
        <w:rPr>
          <w:rFonts w:ascii="Times New Roman" w:eastAsia="Times New Roman" w:hAnsi="Times New Roman" w:cs="Times New Roman"/>
          <w:sz w:val="24"/>
          <w:szCs w:val="24"/>
          <w:shd w:val="clear" w:color="auto" w:fill="FFFFFF"/>
          <w:lang w:val="tr-TR" w:eastAsia="ru-RU"/>
        </w:rPr>
        <w:t>kabul edilmektedir. He</w:t>
      </w:r>
      <w:r w:rsidR="00C043F4" w:rsidRPr="007D507F">
        <w:rPr>
          <w:rFonts w:ascii="Times New Roman" w:eastAsia="Times New Roman" w:hAnsi="Times New Roman" w:cs="Times New Roman"/>
          <w:sz w:val="24"/>
          <w:szCs w:val="24"/>
          <w:shd w:val="clear" w:color="auto" w:fill="FFFFFF"/>
          <w:lang w:val="tr-TR" w:eastAsia="ru-RU"/>
        </w:rPr>
        <w:t>rhangi bir yasada yer almamış</w:t>
      </w:r>
      <w:r w:rsidRPr="007D507F">
        <w:rPr>
          <w:rFonts w:ascii="Times New Roman" w:eastAsia="Times New Roman" w:hAnsi="Times New Roman" w:cs="Times New Roman"/>
          <w:sz w:val="24"/>
          <w:szCs w:val="24"/>
          <w:shd w:val="clear" w:color="auto" w:fill="FFFFFF"/>
          <w:lang w:val="tr-TR" w:eastAsia="ru-RU"/>
        </w:rPr>
        <w:t xml:space="preserve"> ve kendi kendine yeterlilik</w:t>
      </w:r>
      <w:r w:rsidR="00C043F4" w:rsidRPr="007D507F">
        <w:rPr>
          <w:rFonts w:ascii="Times New Roman" w:eastAsia="Times New Roman" w:hAnsi="Times New Roman" w:cs="Times New Roman"/>
          <w:sz w:val="24"/>
          <w:szCs w:val="24"/>
          <w:shd w:val="clear" w:color="auto" w:fill="FFFFFF"/>
          <w:lang w:val="tr-TR" w:eastAsia="ru-RU"/>
        </w:rPr>
        <w:t xml:space="preserve"> (</w:t>
      </w:r>
      <w:r w:rsidR="00C72AAA" w:rsidRPr="007D507F">
        <w:rPr>
          <w:rFonts w:ascii="Times New Roman" w:eastAsia="Times New Roman" w:hAnsi="Times New Roman" w:cs="Times New Roman"/>
          <w:sz w:val="24"/>
          <w:szCs w:val="24"/>
          <w:shd w:val="clear" w:color="auto" w:fill="FFFFFF"/>
          <w:lang w:val="tr-TR" w:eastAsia="ru-RU"/>
        </w:rPr>
        <w:t xml:space="preserve">ilaçlar, yiyecek, yatak takımı, koğuş kıyafetleri ve </w:t>
      </w:r>
      <w:r w:rsidR="00C043F4" w:rsidRPr="007D507F">
        <w:rPr>
          <w:rFonts w:ascii="Times New Roman" w:eastAsia="Times New Roman" w:hAnsi="Times New Roman" w:cs="Times New Roman"/>
          <w:sz w:val="24"/>
          <w:szCs w:val="24"/>
          <w:shd w:val="clear" w:color="auto" w:fill="FFFFFF"/>
          <w:lang w:val="tr-TR" w:eastAsia="ru-RU"/>
        </w:rPr>
        <w:t xml:space="preserve">yeme içme takımı vb.) </w:t>
      </w:r>
      <w:r w:rsidRPr="007D507F">
        <w:rPr>
          <w:rFonts w:ascii="Times New Roman" w:eastAsia="Times New Roman" w:hAnsi="Times New Roman" w:cs="Times New Roman"/>
          <w:sz w:val="24"/>
          <w:szCs w:val="24"/>
          <w:shd w:val="clear" w:color="auto" w:fill="FFFFFF"/>
          <w:lang w:val="tr-TR" w:eastAsia="ru-RU"/>
        </w:rPr>
        <w:t>ile ayırt edil</w:t>
      </w:r>
      <w:r w:rsidR="00C043F4" w:rsidRPr="007D507F">
        <w:rPr>
          <w:rFonts w:ascii="Times New Roman" w:eastAsia="Times New Roman" w:hAnsi="Times New Roman" w:cs="Times New Roman"/>
          <w:sz w:val="24"/>
          <w:szCs w:val="24"/>
          <w:shd w:val="clear" w:color="auto" w:fill="FFFFFF"/>
          <w:lang w:val="tr-TR" w:eastAsia="ru-RU"/>
        </w:rPr>
        <w:t>mektedir</w:t>
      </w:r>
      <w:r w:rsidR="00730186" w:rsidRPr="007D507F">
        <w:rPr>
          <w:rFonts w:ascii="Times New Roman" w:eastAsia="Times New Roman" w:hAnsi="Times New Roman" w:cs="Times New Roman"/>
          <w:sz w:val="24"/>
          <w:szCs w:val="24"/>
          <w:shd w:val="clear" w:color="auto" w:fill="FFFFFF"/>
          <w:lang w:val="tr-TR" w:eastAsia="ru-RU"/>
        </w:rPr>
        <w:t xml:space="preserve"> (Sheiman, </w:t>
      </w:r>
      <w:r w:rsidRPr="007D507F">
        <w:rPr>
          <w:rFonts w:ascii="Times New Roman" w:eastAsia="Times New Roman" w:hAnsi="Times New Roman" w:cs="Times New Roman"/>
          <w:sz w:val="24"/>
          <w:szCs w:val="24"/>
          <w:shd w:val="clear" w:color="auto" w:fill="FFFFFF"/>
          <w:lang w:val="tr-TR" w:eastAsia="ru-RU"/>
        </w:rPr>
        <w:t>2009).</w:t>
      </w:r>
    </w:p>
    <w:p w14:paraId="0766EB30" w14:textId="5B2DA934" w:rsidR="00150B3C" w:rsidRPr="007D507F" w:rsidRDefault="006233C2"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 xml:space="preserve">Pek çok ülkede, zorunlu sağlık sigortası sisteminde sadece işverenin değil, sigortalı nüfusun da bu sürece katılarak ödemenin bir kısmını yaptığı durumlarda, katkı payı ilkesi kullanılmaktadır. Tekrar İsveç deneyimine dönelim. Burada devlet, </w:t>
      </w:r>
      <w:r w:rsidR="00C043F4" w:rsidRPr="007D507F">
        <w:rPr>
          <w:rFonts w:ascii="Times New Roman" w:eastAsia="Times New Roman" w:hAnsi="Times New Roman" w:cs="Times New Roman"/>
          <w:sz w:val="24"/>
          <w:szCs w:val="24"/>
          <w:shd w:val="clear" w:color="auto" w:fill="FFFFFF"/>
          <w:lang w:val="tr-TR" w:eastAsia="ru-RU"/>
        </w:rPr>
        <w:t xml:space="preserve">tıbbi hizmetlere </w:t>
      </w:r>
      <w:r w:rsidRPr="007D507F">
        <w:rPr>
          <w:rFonts w:ascii="Times New Roman" w:eastAsia="Times New Roman" w:hAnsi="Times New Roman" w:cs="Times New Roman"/>
          <w:sz w:val="24"/>
          <w:szCs w:val="24"/>
          <w:shd w:val="clear" w:color="auto" w:fill="FFFFFF"/>
          <w:lang w:val="tr-TR" w:eastAsia="ru-RU"/>
        </w:rPr>
        <w:t>harcanan ana fon kaynağı olarak sağlık hizmetlerinin finansmanına aktif olarak katılmaktadır.</w:t>
      </w:r>
      <w:r w:rsidR="00C043F4" w:rsidRPr="007D507F">
        <w:rPr>
          <w:rFonts w:ascii="Times New Roman" w:eastAsia="Times New Roman" w:hAnsi="Times New Roman" w:cs="Times New Roman"/>
          <w:sz w:val="24"/>
          <w:szCs w:val="24"/>
          <w:shd w:val="clear" w:color="auto" w:fill="FFFFFF"/>
          <w:lang w:val="tr-TR" w:eastAsia="ru-RU"/>
        </w:rPr>
        <w:t xml:space="preserve"> Bununla birlikte, nüfusun ek</w:t>
      </w:r>
      <w:r w:rsidRPr="007D507F">
        <w:rPr>
          <w:rFonts w:ascii="Times New Roman" w:eastAsia="Times New Roman" w:hAnsi="Times New Roman" w:cs="Times New Roman"/>
          <w:sz w:val="24"/>
          <w:szCs w:val="24"/>
          <w:shd w:val="clear" w:color="auto" w:fill="FFFFFF"/>
          <w:lang w:val="tr-TR" w:eastAsia="ru-RU"/>
        </w:rPr>
        <w:t xml:space="preserve"> ödemeler şeklinde katkı</w:t>
      </w:r>
      <w:r w:rsidR="00F05B3A" w:rsidRPr="007D507F">
        <w:rPr>
          <w:rFonts w:ascii="Times New Roman" w:eastAsia="Times New Roman" w:hAnsi="Times New Roman" w:cs="Times New Roman"/>
          <w:sz w:val="24"/>
          <w:szCs w:val="24"/>
          <w:shd w:val="clear" w:color="auto" w:fill="FFFFFF"/>
          <w:lang w:val="tr-TR" w:eastAsia="ru-RU"/>
        </w:rPr>
        <w:t xml:space="preserve">da bulunduğu pay kayda </w:t>
      </w:r>
      <w:r w:rsidR="007C42A0" w:rsidRPr="007D507F">
        <w:rPr>
          <w:rFonts w:ascii="Times New Roman" w:eastAsia="Times New Roman" w:hAnsi="Times New Roman" w:cs="Times New Roman"/>
          <w:sz w:val="24"/>
          <w:szCs w:val="24"/>
          <w:shd w:val="clear" w:color="auto" w:fill="FFFFFF"/>
          <w:lang w:val="tr-TR" w:eastAsia="ru-RU"/>
        </w:rPr>
        <w:t xml:space="preserve">değerdir </w:t>
      </w:r>
      <w:r w:rsidR="00D86037"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sz w:val="24"/>
          <w:szCs w:val="24"/>
          <w:shd w:val="clear" w:color="auto" w:fill="FFFFFF"/>
          <w:lang w:val="tr-TR" w:eastAsia="ru-RU"/>
        </w:rPr>
        <w:t>%10</w:t>
      </w:r>
      <w:r w:rsidR="00F05B3A" w:rsidRPr="007D507F">
        <w:rPr>
          <w:rFonts w:ascii="Times New Roman" w:eastAsia="Times New Roman" w:hAnsi="Times New Roman" w:cs="Times New Roman"/>
          <w:sz w:val="24"/>
          <w:szCs w:val="24"/>
          <w:shd w:val="clear" w:color="auto" w:fill="FFFFFF"/>
          <w:lang w:val="tr-TR" w:eastAsia="ru-RU"/>
        </w:rPr>
        <w:t>’dur</w:t>
      </w:r>
      <w:r w:rsidR="00C043F4" w:rsidRPr="007D507F">
        <w:rPr>
          <w:rFonts w:ascii="Times New Roman" w:eastAsia="Times New Roman" w:hAnsi="Times New Roman" w:cs="Times New Roman"/>
          <w:sz w:val="24"/>
          <w:szCs w:val="24"/>
          <w:shd w:val="clear" w:color="auto" w:fill="FFFFFF"/>
          <w:lang w:val="tr-TR" w:eastAsia="ru-RU"/>
        </w:rPr>
        <w:t xml:space="preserve">. Bir çalışmada </w:t>
      </w:r>
      <w:r w:rsidRPr="007D507F">
        <w:rPr>
          <w:rFonts w:ascii="Times New Roman" w:eastAsia="Times New Roman" w:hAnsi="Times New Roman" w:cs="Times New Roman"/>
          <w:sz w:val="24"/>
          <w:szCs w:val="24"/>
          <w:shd w:val="clear" w:color="auto" w:fill="FFFFFF"/>
          <w:lang w:val="tr-TR" w:eastAsia="ru-RU"/>
        </w:rPr>
        <w:t>(Sağlık Ekonomisi, 2018), İsveç</w:t>
      </w:r>
      <w:r w:rsidR="00F05B3A" w:rsidRPr="007D507F">
        <w:rPr>
          <w:rFonts w:ascii="Times New Roman" w:eastAsia="Times New Roman" w:hAnsi="Times New Roman" w:cs="Times New Roman"/>
          <w:sz w:val="24"/>
          <w:szCs w:val="24"/>
          <w:shd w:val="clear" w:color="auto" w:fill="FFFFFF"/>
          <w:lang w:val="tr-TR" w:eastAsia="ru-RU"/>
        </w:rPr>
        <w:t>’</w:t>
      </w:r>
      <w:r w:rsidRPr="007D507F">
        <w:rPr>
          <w:rFonts w:ascii="Times New Roman" w:eastAsia="Times New Roman" w:hAnsi="Times New Roman" w:cs="Times New Roman"/>
          <w:sz w:val="24"/>
          <w:szCs w:val="24"/>
          <w:shd w:val="clear" w:color="auto" w:fill="FFFFFF"/>
          <w:lang w:val="tr-TR" w:eastAsia="ru-RU"/>
        </w:rPr>
        <w:t>te sağlık hizmetlerine yapılan kamu harc</w:t>
      </w:r>
      <w:r w:rsidR="00F05B3A" w:rsidRPr="007D507F">
        <w:rPr>
          <w:rFonts w:ascii="Times New Roman" w:eastAsia="Times New Roman" w:hAnsi="Times New Roman" w:cs="Times New Roman"/>
          <w:sz w:val="24"/>
          <w:szCs w:val="24"/>
          <w:shd w:val="clear" w:color="auto" w:fill="FFFFFF"/>
          <w:lang w:val="tr-TR" w:eastAsia="ru-RU"/>
        </w:rPr>
        <w:t xml:space="preserve">amalarına ilişkin istatistiksel </w:t>
      </w:r>
      <w:r w:rsidRPr="007D507F">
        <w:rPr>
          <w:rFonts w:ascii="Times New Roman" w:eastAsia="Times New Roman" w:hAnsi="Times New Roman" w:cs="Times New Roman"/>
          <w:sz w:val="24"/>
          <w:szCs w:val="24"/>
          <w:shd w:val="clear" w:color="auto" w:fill="FFFFFF"/>
          <w:lang w:val="tr-TR" w:eastAsia="ru-RU"/>
        </w:rPr>
        <w:t xml:space="preserve">veriler </w:t>
      </w:r>
      <w:r w:rsidR="00F05B3A" w:rsidRPr="007D507F">
        <w:rPr>
          <w:rFonts w:ascii="Times New Roman" w:eastAsia="Times New Roman" w:hAnsi="Times New Roman" w:cs="Times New Roman"/>
          <w:sz w:val="24"/>
          <w:szCs w:val="24"/>
          <w:shd w:val="clear" w:color="auto" w:fill="FFFFFF"/>
          <w:lang w:val="tr-TR" w:eastAsia="ru-RU"/>
        </w:rPr>
        <w:t>sunulmultur</w:t>
      </w:r>
      <w:r w:rsidRPr="007D507F">
        <w:rPr>
          <w:rFonts w:ascii="Times New Roman" w:eastAsia="Times New Roman" w:hAnsi="Times New Roman" w:cs="Times New Roman"/>
          <w:sz w:val="24"/>
          <w:szCs w:val="24"/>
          <w:shd w:val="clear" w:color="auto" w:fill="FFFFFF"/>
          <w:lang w:val="tr-TR" w:eastAsia="ru-RU"/>
        </w:rPr>
        <w:t>. Bir İsveçli için doktor ziyareti ortalama 100-300 SEK</w:t>
      </w:r>
      <w:r w:rsidR="00B21454" w:rsidRPr="007D507F">
        <w:rPr>
          <w:rFonts w:ascii="Times New Roman" w:eastAsia="Times New Roman" w:hAnsi="Times New Roman" w:cs="Times New Roman"/>
          <w:sz w:val="24"/>
          <w:szCs w:val="24"/>
          <w:shd w:val="clear" w:color="auto" w:fill="FFFFFF"/>
          <w:lang w:val="tr-TR" w:eastAsia="ru-RU"/>
        </w:rPr>
        <w:t xml:space="preserve"> (İsveç Kronu)</w:t>
      </w:r>
      <w:r w:rsidRPr="007D507F">
        <w:rPr>
          <w:rFonts w:ascii="Times New Roman" w:eastAsia="Times New Roman" w:hAnsi="Times New Roman" w:cs="Times New Roman"/>
          <w:sz w:val="24"/>
          <w:szCs w:val="24"/>
          <w:shd w:val="clear" w:color="auto" w:fill="FFFFFF"/>
          <w:lang w:val="tr-TR" w:eastAsia="ru-RU"/>
        </w:rPr>
        <w:t xml:space="preserve">, bir hastanede tedavi ise günlük 80 SEK tutarındadır. Gençler için bazı </w:t>
      </w:r>
      <w:r w:rsidR="00F05B3A" w:rsidRPr="007D507F">
        <w:rPr>
          <w:rFonts w:ascii="Times New Roman" w:eastAsia="Times New Roman" w:hAnsi="Times New Roman" w:cs="Times New Roman"/>
          <w:sz w:val="24"/>
          <w:szCs w:val="24"/>
          <w:shd w:val="clear" w:color="auto" w:fill="FFFFFF"/>
          <w:lang w:val="tr-TR" w:eastAsia="ru-RU"/>
        </w:rPr>
        <w:t xml:space="preserve">kolaylıklar </w:t>
      </w:r>
      <w:r w:rsidR="00C043F4" w:rsidRPr="007D507F">
        <w:rPr>
          <w:rFonts w:ascii="Times New Roman" w:eastAsia="Times New Roman" w:hAnsi="Times New Roman" w:cs="Times New Roman"/>
          <w:sz w:val="24"/>
          <w:szCs w:val="24"/>
          <w:shd w:val="clear" w:color="auto" w:fill="FFFFFF"/>
          <w:lang w:val="tr-TR" w:eastAsia="ru-RU"/>
        </w:rPr>
        <w:t xml:space="preserve">sağlanmıştır. 20 yaş altı </w:t>
      </w:r>
      <w:r w:rsidRPr="007D507F">
        <w:rPr>
          <w:rFonts w:ascii="Times New Roman" w:eastAsia="Times New Roman" w:hAnsi="Times New Roman" w:cs="Times New Roman"/>
          <w:sz w:val="24"/>
          <w:szCs w:val="24"/>
          <w:shd w:val="clear" w:color="auto" w:fill="FFFFFF"/>
          <w:lang w:val="tr-TR" w:eastAsia="ru-RU"/>
        </w:rPr>
        <w:t>gençlerden bahsedi</w:t>
      </w:r>
      <w:r w:rsidR="00C043F4" w:rsidRPr="007D507F">
        <w:rPr>
          <w:rFonts w:ascii="Times New Roman" w:eastAsia="Times New Roman" w:hAnsi="Times New Roman" w:cs="Times New Roman"/>
          <w:sz w:val="24"/>
          <w:szCs w:val="24"/>
          <w:shd w:val="clear" w:color="auto" w:fill="FFFFFF"/>
          <w:lang w:val="tr-TR" w:eastAsia="ru-RU"/>
        </w:rPr>
        <w:t xml:space="preserve">lmektedir. </w:t>
      </w:r>
      <w:r w:rsidR="00B21454" w:rsidRPr="007D507F">
        <w:rPr>
          <w:rFonts w:ascii="Times New Roman" w:eastAsia="Times New Roman" w:hAnsi="Times New Roman" w:cs="Times New Roman"/>
          <w:sz w:val="24"/>
          <w:szCs w:val="24"/>
          <w:shd w:val="clear" w:color="auto" w:fill="FFFFFF"/>
          <w:lang w:val="tr-TR" w:eastAsia="ru-RU"/>
        </w:rPr>
        <w:t xml:space="preserve">Onlara ücretsiz diş hizmeti </w:t>
      </w:r>
      <w:r w:rsidRPr="007D507F">
        <w:rPr>
          <w:rFonts w:ascii="Times New Roman" w:eastAsia="Times New Roman" w:hAnsi="Times New Roman" w:cs="Times New Roman"/>
          <w:sz w:val="24"/>
          <w:szCs w:val="24"/>
          <w:shd w:val="clear" w:color="auto" w:fill="FFFFFF"/>
          <w:lang w:val="tr-TR" w:eastAsia="ru-RU"/>
        </w:rPr>
        <w:t>ve bir yetişkine tazminat veril</w:t>
      </w:r>
      <w:r w:rsidR="00C043F4" w:rsidRPr="007D507F">
        <w:rPr>
          <w:rFonts w:ascii="Times New Roman" w:eastAsia="Times New Roman" w:hAnsi="Times New Roman" w:cs="Times New Roman"/>
          <w:sz w:val="24"/>
          <w:szCs w:val="24"/>
          <w:shd w:val="clear" w:color="auto" w:fill="FFFFFF"/>
          <w:lang w:val="tr-TR" w:eastAsia="ru-RU"/>
        </w:rPr>
        <w:t>mektedir</w:t>
      </w:r>
      <w:r w:rsidRPr="007D507F">
        <w:rPr>
          <w:rFonts w:ascii="Times New Roman" w:eastAsia="Times New Roman" w:hAnsi="Times New Roman" w:cs="Times New Roman"/>
          <w:sz w:val="24"/>
          <w:szCs w:val="24"/>
          <w:shd w:val="clear" w:color="auto" w:fill="FFFFFF"/>
          <w:lang w:val="tr-TR" w:eastAsia="ru-RU"/>
        </w:rPr>
        <w:t xml:space="preserve">. </w:t>
      </w:r>
      <w:r w:rsidR="00F05B3A" w:rsidRPr="007D507F">
        <w:rPr>
          <w:rFonts w:ascii="Times New Roman" w:eastAsia="Times New Roman" w:hAnsi="Times New Roman" w:cs="Times New Roman"/>
          <w:color w:val="000000" w:themeColor="text1"/>
          <w:sz w:val="24"/>
          <w:szCs w:val="24"/>
          <w:shd w:val="clear" w:color="auto" w:fill="FFFFFF"/>
          <w:lang w:val="tr-TR" w:eastAsia="ru-RU"/>
        </w:rPr>
        <w:t>T</w:t>
      </w:r>
      <w:r w:rsidRPr="007D507F">
        <w:rPr>
          <w:rFonts w:ascii="Times New Roman" w:eastAsia="Times New Roman" w:hAnsi="Times New Roman" w:cs="Times New Roman"/>
          <w:color w:val="000000" w:themeColor="text1"/>
          <w:sz w:val="24"/>
          <w:szCs w:val="24"/>
          <w:shd w:val="clear" w:color="auto" w:fill="FFFFFF"/>
          <w:lang w:val="tr-TR" w:eastAsia="ru-RU"/>
        </w:rPr>
        <w:t>üm tedavinin maliyetine bağlı olarak, b</w:t>
      </w:r>
      <w:r w:rsidRPr="007D507F">
        <w:rPr>
          <w:rFonts w:ascii="Times New Roman" w:eastAsia="Times New Roman" w:hAnsi="Times New Roman" w:cs="Times New Roman"/>
          <w:sz w:val="24"/>
          <w:szCs w:val="24"/>
          <w:shd w:val="clear" w:color="auto" w:fill="FFFFFF"/>
          <w:lang w:val="tr-TR" w:eastAsia="ru-RU"/>
        </w:rPr>
        <w:t xml:space="preserve">aşlangıçta harcanan 700 </w:t>
      </w:r>
      <w:r w:rsidR="00B21454" w:rsidRPr="007D507F">
        <w:rPr>
          <w:rFonts w:ascii="Times New Roman" w:eastAsia="Times New Roman" w:hAnsi="Times New Roman" w:cs="Times New Roman"/>
          <w:sz w:val="24"/>
          <w:szCs w:val="24"/>
          <w:shd w:val="clear" w:color="auto" w:fill="FFFFFF"/>
          <w:lang w:val="tr-TR" w:eastAsia="ru-RU"/>
        </w:rPr>
        <w:t xml:space="preserve">SEK </w:t>
      </w:r>
      <w:r w:rsidRPr="007D507F">
        <w:rPr>
          <w:rFonts w:ascii="Times New Roman" w:eastAsia="Times New Roman" w:hAnsi="Times New Roman" w:cs="Times New Roman"/>
          <w:sz w:val="24"/>
          <w:szCs w:val="24"/>
          <w:shd w:val="clear" w:color="auto" w:fill="FFFFFF"/>
          <w:lang w:val="tr-TR" w:eastAsia="ru-RU"/>
        </w:rPr>
        <w:t xml:space="preserve">için bir indirim sağlanır, </w:t>
      </w:r>
      <w:r w:rsidR="00150B3C" w:rsidRPr="007D507F">
        <w:rPr>
          <w:rFonts w:ascii="Times New Roman" w:eastAsia="Times New Roman" w:hAnsi="Times New Roman" w:cs="Times New Roman"/>
          <w:sz w:val="24"/>
          <w:szCs w:val="24"/>
          <w:shd w:val="clear" w:color="auto" w:fill="FFFFFF"/>
          <w:lang w:val="tr-TR" w:eastAsia="ru-RU"/>
        </w:rPr>
        <w:t xml:space="preserve">bu </w:t>
      </w:r>
      <w:r w:rsidR="00F05B3A" w:rsidRPr="007D507F">
        <w:rPr>
          <w:rFonts w:ascii="Times New Roman" w:eastAsia="Times New Roman" w:hAnsi="Times New Roman" w:cs="Times New Roman"/>
          <w:sz w:val="24"/>
          <w:szCs w:val="24"/>
          <w:shd w:val="clear" w:color="auto" w:fill="FFFFFF"/>
          <w:lang w:val="tr-TR" w:eastAsia="ru-RU"/>
        </w:rPr>
        <w:t>%</w:t>
      </w:r>
      <w:r w:rsidRPr="007D507F">
        <w:rPr>
          <w:rFonts w:ascii="Times New Roman" w:eastAsia="Times New Roman" w:hAnsi="Times New Roman" w:cs="Times New Roman"/>
          <w:sz w:val="24"/>
          <w:szCs w:val="24"/>
          <w:shd w:val="clear" w:color="auto" w:fill="FFFFFF"/>
          <w:lang w:val="tr-TR" w:eastAsia="ru-RU"/>
        </w:rPr>
        <w:t>35-70’e tekabül etmekt</w:t>
      </w:r>
      <w:r w:rsidR="00F05B3A" w:rsidRPr="007D507F">
        <w:rPr>
          <w:rFonts w:ascii="Times New Roman" w:eastAsia="Times New Roman" w:hAnsi="Times New Roman" w:cs="Times New Roman"/>
          <w:sz w:val="24"/>
          <w:szCs w:val="24"/>
          <w:shd w:val="clear" w:color="auto" w:fill="FFFFFF"/>
          <w:lang w:val="tr-TR" w:eastAsia="ru-RU"/>
        </w:rPr>
        <w:t>e</w:t>
      </w:r>
      <w:r w:rsidRPr="007D507F">
        <w:rPr>
          <w:rFonts w:ascii="Times New Roman" w:eastAsia="Times New Roman" w:hAnsi="Times New Roman" w:cs="Times New Roman"/>
          <w:sz w:val="24"/>
          <w:szCs w:val="24"/>
          <w:shd w:val="clear" w:color="auto" w:fill="FFFFFF"/>
          <w:lang w:val="tr-TR" w:eastAsia="ru-RU"/>
        </w:rPr>
        <w:t>dir.</w:t>
      </w:r>
    </w:p>
    <w:p w14:paraId="7227398C" w14:textId="77777777" w:rsidR="006233C2" w:rsidRPr="007D507F" w:rsidRDefault="006233C2" w:rsidP="007D507F">
      <w:pPr>
        <w:shd w:val="clear" w:color="auto" w:fill="FFFFFF"/>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t xml:space="preserve">İlaç alımı için </w:t>
      </w:r>
      <w:r w:rsidR="00150B3C" w:rsidRPr="007D507F">
        <w:rPr>
          <w:rFonts w:ascii="Times New Roman" w:eastAsia="Times New Roman" w:hAnsi="Times New Roman" w:cs="Times New Roman"/>
          <w:color w:val="000000" w:themeColor="text1"/>
          <w:sz w:val="24"/>
          <w:szCs w:val="24"/>
          <w:shd w:val="clear" w:color="auto" w:fill="FFFFFF"/>
          <w:lang w:val="tr-TR" w:eastAsia="ru-RU"/>
        </w:rPr>
        <w:t xml:space="preserve">yıllık olarak </w:t>
      </w:r>
      <w:r w:rsidRPr="007D507F">
        <w:rPr>
          <w:rFonts w:ascii="Times New Roman" w:eastAsia="Times New Roman" w:hAnsi="Times New Roman" w:cs="Times New Roman"/>
          <w:color w:val="000000" w:themeColor="text1"/>
          <w:sz w:val="24"/>
          <w:szCs w:val="24"/>
          <w:shd w:val="clear" w:color="auto" w:fill="FFFFFF"/>
          <w:lang w:val="tr-TR" w:eastAsia="ru-RU"/>
        </w:rPr>
        <w:t xml:space="preserve">hesaplanan sınırlı bir miktar, örneğin 100 ABD doları tahsis edilir. Aynı zamanda bu miktar için ilaçlar kendi fonlarından satın alınır. Sonra sübvansiyonlu bir </w:t>
      </w:r>
      <w:r w:rsidR="00B21454" w:rsidRPr="007D507F">
        <w:rPr>
          <w:rFonts w:ascii="Times New Roman" w:eastAsia="Times New Roman" w:hAnsi="Times New Roman" w:cs="Times New Roman"/>
          <w:color w:val="000000" w:themeColor="text1"/>
          <w:sz w:val="24"/>
          <w:szCs w:val="24"/>
          <w:shd w:val="clear" w:color="auto" w:fill="FFFFFF"/>
          <w:lang w:val="tr-TR" w:eastAsia="ru-RU"/>
        </w:rPr>
        <w:t xml:space="preserve">sistem </w:t>
      </w:r>
      <w:r w:rsidR="00150B3C" w:rsidRPr="007D507F">
        <w:rPr>
          <w:rFonts w:ascii="Times New Roman" w:eastAsia="Times New Roman" w:hAnsi="Times New Roman" w:cs="Times New Roman"/>
          <w:color w:val="000000" w:themeColor="text1"/>
          <w:sz w:val="24"/>
          <w:szCs w:val="24"/>
          <w:shd w:val="clear" w:color="auto" w:fill="FFFFFF"/>
          <w:lang w:val="tr-TR" w:eastAsia="ru-RU"/>
        </w:rPr>
        <w:t xml:space="preserve">çalışır </w:t>
      </w:r>
      <w:r w:rsidRPr="007D507F">
        <w:rPr>
          <w:rFonts w:ascii="Times New Roman" w:eastAsia="Times New Roman" w:hAnsi="Times New Roman" w:cs="Times New Roman"/>
          <w:color w:val="000000" w:themeColor="text1"/>
          <w:sz w:val="24"/>
          <w:szCs w:val="24"/>
          <w:shd w:val="clear" w:color="auto" w:fill="FFFFFF"/>
          <w:lang w:val="tr-TR" w:eastAsia="ru-RU"/>
        </w:rPr>
        <w:t>ve burada her</w:t>
      </w:r>
      <w:r w:rsidR="00B21454" w:rsidRPr="007D507F">
        <w:rPr>
          <w:rFonts w:ascii="Times New Roman" w:eastAsia="Times New Roman" w:hAnsi="Times New Roman" w:cs="Times New Roman"/>
          <w:color w:val="000000" w:themeColor="text1"/>
          <w:sz w:val="24"/>
          <w:szCs w:val="24"/>
          <w:shd w:val="clear" w:color="auto" w:fill="FFFFFF"/>
          <w:lang w:val="tr-TR" w:eastAsia="ru-RU"/>
        </w:rPr>
        <w:t xml:space="preserve"> </w:t>
      </w:r>
      <w:r w:rsidRPr="007D507F">
        <w:rPr>
          <w:rFonts w:ascii="Times New Roman" w:eastAsia="Times New Roman" w:hAnsi="Times New Roman" w:cs="Times New Roman"/>
          <w:color w:val="000000" w:themeColor="text1"/>
          <w:sz w:val="24"/>
          <w:szCs w:val="24"/>
          <w:shd w:val="clear" w:color="auto" w:fill="FFFFFF"/>
          <w:lang w:val="tr-TR" w:eastAsia="ru-RU"/>
        </w:rPr>
        <w:t>şey harcanan fon</w:t>
      </w:r>
      <w:r w:rsidR="00B21454" w:rsidRPr="007D507F">
        <w:rPr>
          <w:rFonts w:ascii="Times New Roman" w:eastAsia="Times New Roman" w:hAnsi="Times New Roman" w:cs="Times New Roman"/>
          <w:color w:val="000000" w:themeColor="text1"/>
          <w:sz w:val="24"/>
          <w:szCs w:val="24"/>
          <w:shd w:val="clear" w:color="auto" w:fill="FFFFFF"/>
          <w:lang w:val="tr-TR" w:eastAsia="ru-RU"/>
        </w:rPr>
        <w:t xml:space="preserve"> </w:t>
      </w:r>
      <w:r w:rsidRPr="007D507F">
        <w:rPr>
          <w:rFonts w:ascii="Times New Roman" w:eastAsia="Times New Roman" w:hAnsi="Times New Roman" w:cs="Times New Roman"/>
          <w:color w:val="000000" w:themeColor="text1"/>
          <w:sz w:val="24"/>
          <w:szCs w:val="24"/>
          <w:shd w:val="clear" w:color="auto" w:fill="FFFFFF"/>
          <w:lang w:val="tr-TR" w:eastAsia="ru-RU"/>
        </w:rPr>
        <w:t>sayısına bağlı bulunmaktadır.</w:t>
      </w:r>
    </w:p>
    <w:p w14:paraId="65D79A08" w14:textId="2799DE3D" w:rsidR="006233C2" w:rsidRPr="007D507F" w:rsidRDefault="006233C2" w:rsidP="007D507F">
      <w:pPr>
        <w:shd w:val="clear" w:color="auto" w:fill="FFFFFF"/>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t xml:space="preserve">Yukarıda üç tür katkı </w:t>
      </w:r>
      <w:r w:rsidR="007C42A0" w:rsidRPr="007D507F">
        <w:rPr>
          <w:rFonts w:ascii="Times New Roman" w:eastAsia="Times New Roman" w:hAnsi="Times New Roman" w:cs="Times New Roman"/>
          <w:sz w:val="24"/>
          <w:szCs w:val="24"/>
          <w:shd w:val="clear" w:color="auto" w:fill="FFFFFF"/>
          <w:lang w:val="tr-TR" w:eastAsia="ru-RU"/>
        </w:rPr>
        <w:t xml:space="preserve">payından söz edilmiştir. </w:t>
      </w:r>
      <w:r w:rsidR="00E01B8A" w:rsidRPr="007D507F">
        <w:rPr>
          <w:rFonts w:ascii="Times New Roman" w:eastAsia="Times New Roman" w:hAnsi="Times New Roman" w:cs="Times New Roman"/>
          <w:sz w:val="24"/>
          <w:szCs w:val="24"/>
          <w:shd w:val="clear" w:color="auto" w:fill="FFFFFF"/>
          <w:lang w:val="tr-TR" w:eastAsia="ru-RU"/>
        </w:rPr>
        <w:t xml:space="preserve">Bahsedilen </w:t>
      </w:r>
      <w:r w:rsidR="00E01B8A" w:rsidRPr="007D507F">
        <w:rPr>
          <w:rFonts w:ascii="Times New Roman" w:eastAsia="Times New Roman" w:hAnsi="Times New Roman" w:cs="Times New Roman"/>
          <w:color w:val="000000" w:themeColor="text1"/>
          <w:sz w:val="24"/>
          <w:szCs w:val="24"/>
          <w:shd w:val="clear" w:color="auto" w:fill="FFFFFF"/>
          <w:lang w:val="tr-TR" w:eastAsia="ru-RU"/>
        </w:rPr>
        <w:t>katkı payları aşağıda kısaca açıklanmıştır.</w:t>
      </w:r>
      <w:r w:rsidR="002126BB" w:rsidRPr="007D507F">
        <w:rPr>
          <w:rFonts w:ascii="Times New Roman" w:eastAsia="Times New Roman" w:hAnsi="Times New Roman" w:cs="Times New Roman"/>
          <w:color w:val="000000" w:themeColor="text1"/>
          <w:sz w:val="24"/>
          <w:szCs w:val="24"/>
          <w:shd w:val="clear" w:color="auto" w:fill="FFFFFF"/>
          <w:lang w:val="tr-TR" w:eastAsia="ru-RU"/>
        </w:rPr>
        <w:t xml:space="preserve"> </w:t>
      </w:r>
    </w:p>
    <w:p w14:paraId="1B3D0D95" w14:textId="77777777" w:rsidR="006233C2" w:rsidRPr="007D507F" w:rsidRDefault="006233C2" w:rsidP="007D507F">
      <w:pPr>
        <w:shd w:val="clear" w:color="auto" w:fill="FFFFFF"/>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t>İlk tip</w:t>
      </w:r>
      <w:r w:rsidRPr="007D507F">
        <w:rPr>
          <w:rFonts w:ascii="Times New Roman" w:eastAsia="Times New Roman" w:hAnsi="Times New Roman" w:cs="Times New Roman"/>
          <w:sz w:val="24"/>
          <w:szCs w:val="24"/>
          <w:shd w:val="clear" w:color="auto" w:fill="FFFFFF"/>
          <w:lang w:val="tr-TR" w:eastAsia="ru-RU"/>
        </w:rPr>
        <w:t xml:space="preserve"> </w:t>
      </w:r>
      <w:r w:rsidR="00B21454" w:rsidRPr="007D507F">
        <w:rPr>
          <w:rFonts w:ascii="Times New Roman" w:eastAsia="Times New Roman" w:hAnsi="Times New Roman" w:cs="Times New Roman"/>
          <w:sz w:val="24"/>
          <w:szCs w:val="24"/>
          <w:shd w:val="clear" w:color="auto" w:fill="FFFFFF"/>
          <w:lang w:val="tr-TR" w:eastAsia="ru-RU"/>
        </w:rPr>
        <w:t xml:space="preserve">alıkoyma </w:t>
      </w:r>
      <w:r w:rsidRPr="007D507F">
        <w:rPr>
          <w:rFonts w:ascii="Times New Roman" w:eastAsia="Times New Roman" w:hAnsi="Times New Roman" w:cs="Times New Roman"/>
          <w:color w:val="000000" w:themeColor="text1"/>
          <w:sz w:val="24"/>
          <w:szCs w:val="24"/>
          <w:shd w:val="clear" w:color="auto" w:fill="FFFFFF"/>
          <w:lang w:val="tr-TR" w:eastAsia="ru-RU"/>
        </w:rPr>
        <w:t>olarak adlandırılır. Sigorta mekanizması ve gerekli tıbbi hizmetlerin sağlanması başlamadan önce bile belirli bir miktar (tümü değil) peşin ödenir. Böylece hastanede ya da ayakta tedavide yıl boyunca tedavi için harcanacak tutarı karşılar. Başlangıç ​​tutarı olarak 50$ olabilir.</w:t>
      </w:r>
    </w:p>
    <w:p w14:paraId="103EDD75" w14:textId="77777777" w:rsidR="006233C2" w:rsidRPr="007D507F" w:rsidRDefault="00B21454" w:rsidP="007D507F">
      <w:pPr>
        <w:shd w:val="clear" w:color="auto" w:fill="FFFFFF"/>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lastRenderedPageBreak/>
        <w:t>Hizmetlerde</w:t>
      </w:r>
      <w:r w:rsidR="006233C2" w:rsidRPr="007D507F">
        <w:rPr>
          <w:rFonts w:ascii="Times New Roman" w:eastAsia="Times New Roman" w:hAnsi="Times New Roman" w:cs="Times New Roman"/>
          <w:color w:val="000000" w:themeColor="text1"/>
          <w:sz w:val="24"/>
          <w:szCs w:val="24"/>
          <w:shd w:val="clear" w:color="auto" w:fill="FFFFFF"/>
          <w:lang w:val="tr-TR" w:eastAsia="ru-RU"/>
        </w:rPr>
        <w:t xml:space="preserve"> </w:t>
      </w:r>
      <w:r w:rsidR="00151839" w:rsidRPr="007D507F">
        <w:rPr>
          <w:rFonts w:ascii="Times New Roman" w:eastAsia="Times New Roman" w:hAnsi="Times New Roman" w:cs="Times New Roman"/>
          <w:sz w:val="24"/>
          <w:szCs w:val="24"/>
          <w:shd w:val="clear" w:color="auto" w:fill="FFFFFF"/>
          <w:lang w:val="tr-TR" w:eastAsia="ru-RU"/>
        </w:rPr>
        <w:t xml:space="preserve">müşterek </w:t>
      </w:r>
      <w:r w:rsidR="00D10231" w:rsidRPr="007D507F">
        <w:rPr>
          <w:rFonts w:ascii="Times New Roman" w:eastAsia="Times New Roman" w:hAnsi="Times New Roman" w:cs="Times New Roman"/>
          <w:sz w:val="24"/>
          <w:szCs w:val="24"/>
          <w:shd w:val="clear" w:color="auto" w:fill="FFFFFF"/>
          <w:lang w:val="tr-TR" w:eastAsia="ru-RU"/>
        </w:rPr>
        <w:t xml:space="preserve">katılım </w:t>
      </w:r>
      <w:r w:rsidR="006233C2" w:rsidRPr="007D507F">
        <w:rPr>
          <w:rFonts w:ascii="Times New Roman" w:eastAsia="Times New Roman" w:hAnsi="Times New Roman" w:cs="Times New Roman"/>
          <w:color w:val="000000" w:themeColor="text1"/>
          <w:sz w:val="24"/>
          <w:szCs w:val="24"/>
          <w:shd w:val="clear" w:color="auto" w:fill="FFFFFF"/>
          <w:lang w:val="tr-TR" w:eastAsia="ru-RU"/>
        </w:rPr>
        <w:t xml:space="preserve">ikinci türe </w:t>
      </w:r>
      <w:r w:rsidRPr="007D507F">
        <w:rPr>
          <w:rFonts w:ascii="Times New Roman" w:eastAsia="Times New Roman" w:hAnsi="Times New Roman" w:cs="Times New Roman"/>
          <w:color w:val="000000" w:themeColor="text1"/>
          <w:sz w:val="24"/>
          <w:szCs w:val="24"/>
          <w:shd w:val="clear" w:color="auto" w:fill="FFFFFF"/>
          <w:lang w:val="tr-TR" w:eastAsia="ru-RU"/>
        </w:rPr>
        <w:t>girmektedir</w:t>
      </w:r>
      <w:r w:rsidR="006233C2" w:rsidRPr="007D507F">
        <w:rPr>
          <w:rFonts w:ascii="Times New Roman" w:eastAsia="Times New Roman" w:hAnsi="Times New Roman" w:cs="Times New Roman"/>
          <w:color w:val="000000" w:themeColor="text1"/>
          <w:sz w:val="24"/>
          <w:szCs w:val="24"/>
          <w:shd w:val="clear" w:color="auto" w:fill="FFFFFF"/>
          <w:lang w:val="tr-TR" w:eastAsia="ru-RU"/>
        </w:rPr>
        <w:t xml:space="preserve">. Bir hastaya her tıbbi hizmet sağlandığında bir kez ödenir. Bir hastaya reçete verildiğini ve hemen orada ödediğini varsayalım, diyelim ki 5 </w:t>
      </w:r>
      <w:r w:rsidR="00150B3C" w:rsidRPr="007D507F">
        <w:rPr>
          <w:rFonts w:ascii="Times New Roman" w:eastAsia="Times New Roman" w:hAnsi="Times New Roman" w:cs="Times New Roman"/>
          <w:color w:val="000000" w:themeColor="text1"/>
          <w:sz w:val="24"/>
          <w:szCs w:val="24"/>
          <w:shd w:val="clear" w:color="auto" w:fill="FFFFFF"/>
          <w:lang w:val="tr-TR" w:eastAsia="ru-RU"/>
        </w:rPr>
        <w:t>D</w:t>
      </w:r>
      <w:r w:rsidR="006233C2" w:rsidRPr="007D507F">
        <w:rPr>
          <w:rFonts w:ascii="Times New Roman" w:eastAsia="Times New Roman" w:hAnsi="Times New Roman" w:cs="Times New Roman"/>
          <w:color w:val="000000" w:themeColor="text1"/>
          <w:sz w:val="24"/>
          <w:szCs w:val="24"/>
          <w:shd w:val="clear" w:color="auto" w:fill="FFFFFF"/>
          <w:lang w:val="tr-TR" w:eastAsia="ru-RU"/>
        </w:rPr>
        <w:t>olar.</w:t>
      </w:r>
    </w:p>
    <w:p w14:paraId="56C27A30" w14:textId="77777777" w:rsidR="006233C2" w:rsidRPr="007D507F" w:rsidRDefault="00D10231" w:rsidP="007D507F">
      <w:pPr>
        <w:shd w:val="clear" w:color="auto" w:fill="FFFFFF"/>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t>Müşterek sigorta</w:t>
      </w:r>
      <w:r w:rsidR="006233C2" w:rsidRPr="007D507F">
        <w:rPr>
          <w:rFonts w:ascii="Times New Roman" w:eastAsia="Times New Roman" w:hAnsi="Times New Roman" w:cs="Times New Roman"/>
          <w:color w:val="000000" w:themeColor="text1"/>
          <w:sz w:val="24"/>
          <w:szCs w:val="24"/>
          <w:shd w:val="clear" w:color="auto" w:fill="FFFFFF"/>
          <w:lang w:val="tr-TR" w:eastAsia="ru-RU"/>
        </w:rPr>
        <w:t>, miktarı veya tahmini miktarın bir yüzdesi hastanın kendisi tarafından belirlenen üçüncü ödeme türüdür. Bu</w:t>
      </w:r>
      <w:r w:rsidR="00181585" w:rsidRPr="007D507F">
        <w:rPr>
          <w:rFonts w:ascii="Times New Roman" w:eastAsia="Times New Roman" w:hAnsi="Times New Roman" w:cs="Times New Roman"/>
          <w:color w:val="000000" w:themeColor="text1"/>
          <w:sz w:val="24"/>
          <w:szCs w:val="24"/>
          <w:shd w:val="clear" w:color="auto" w:fill="FFFFFF"/>
          <w:lang w:val="tr-TR" w:eastAsia="ru-RU"/>
        </w:rPr>
        <w:t>, toplam tedavi maliyetinin %20’</w:t>
      </w:r>
      <w:r w:rsidR="006233C2" w:rsidRPr="007D507F">
        <w:rPr>
          <w:rFonts w:ascii="Times New Roman" w:eastAsia="Times New Roman" w:hAnsi="Times New Roman" w:cs="Times New Roman"/>
          <w:color w:val="000000" w:themeColor="text1"/>
          <w:sz w:val="24"/>
          <w:szCs w:val="24"/>
          <w:shd w:val="clear" w:color="auto" w:fill="FFFFFF"/>
          <w:lang w:val="tr-TR" w:eastAsia="ru-RU"/>
        </w:rPr>
        <w:t>si olabilir.</w:t>
      </w:r>
    </w:p>
    <w:p w14:paraId="7DD6757A" w14:textId="77777777" w:rsidR="006233C2" w:rsidRPr="007D507F" w:rsidRDefault="006233C2" w:rsidP="007D507F">
      <w:pPr>
        <w:shd w:val="clear" w:color="auto" w:fill="FFFFFF"/>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t>Göz önünde bulundurduğumuz türler, çeşitli hizmet seviyeleri için ek bir finansman kaynağını temsil eder. İlaçlar, optikler veya doktor veya hastane hizmetleri için ödeme yapmak mümkündür. Sosyal olarak savunmasız vatandaşları ve ciddi bir kronik hastalıktan etkilenen hastaları korumak için katkı payı düzeyini belirlemek için nüfus kategorisi de dikkate alınır. Katkı payı tutarı belirlenirken seviyelerinin üzerine çıkmaması için gerçek maliyetler dikkate alınır. Hasta, katkı payı fonlarının yönü, yani ne için ödendiği hakkında bilgiye erişebilmelidir.</w:t>
      </w:r>
    </w:p>
    <w:p w14:paraId="2765B4B2" w14:textId="022088C2" w:rsidR="006233C2" w:rsidRPr="007D507F" w:rsidRDefault="006233C2" w:rsidP="007D507F">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t>Katkı payı miktarının belirlendiği ilkeye bilimsel olarak kanıtlanmış denilemez. Isık-</w:t>
      </w:r>
      <w:r w:rsidR="00181585" w:rsidRPr="007D507F">
        <w:rPr>
          <w:rFonts w:ascii="Times New Roman" w:eastAsia="Times New Roman" w:hAnsi="Times New Roman" w:cs="Times New Roman"/>
          <w:color w:val="000000" w:themeColor="text1"/>
          <w:sz w:val="24"/>
          <w:szCs w:val="24"/>
          <w:shd w:val="clear" w:color="auto" w:fill="FFFFFF"/>
          <w:lang w:val="tr-TR" w:eastAsia="ru-RU"/>
        </w:rPr>
        <w:t>Gö</w:t>
      </w:r>
      <w:r w:rsidR="00D10231" w:rsidRPr="007D507F">
        <w:rPr>
          <w:rFonts w:ascii="Times New Roman" w:eastAsia="Times New Roman" w:hAnsi="Times New Roman" w:cs="Times New Roman"/>
          <w:color w:val="000000" w:themeColor="text1"/>
          <w:sz w:val="24"/>
          <w:szCs w:val="24"/>
          <w:shd w:val="clear" w:color="auto" w:fill="FFFFFF"/>
          <w:lang w:val="tr-TR" w:eastAsia="ru-RU"/>
        </w:rPr>
        <w:t xml:space="preserve">l bölgesinde </w:t>
      </w:r>
      <w:r w:rsidR="00D10231" w:rsidRPr="007D507F">
        <w:rPr>
          <w:rFonts w:ascii="Times New Roman" w:eastAsia="Times New Roman" w:hAnsi="Times New Roman" w:cs="Times New Roman"/>
          <w:sz w:val="24"/>
          <w:szCs w:val="24"/>
          <w:shd w:val="clear" w:color="auto" w:fill="FFFFFF"/>
          <w:lang w:val="tr-TR" w:eastAsia="ru-RU"/>
        </w:rPr>
        <w:t xml:space="preserve">anket </w:t>
      </w:r>
      <w:r w:rsidR="002126BB" w:rsidRPr="007D507F">
        <w:rPr>
          <w:rFonts w:ascii="Times New Roman" w:eastAsia="Times New Roman" w:hAnsi="Times New Roman" w:cs="Times New Roman"/>
          <w:sz w:val="24"/>
          <w:szCs w:val="24"/>
          <w:shd w:val="clear" w:color="auto" w:fill="FFFFFF"/>
          <w:lang w:val="tr-TR" w:eastAsia="ru-RU"/>
        </w:rPr>
        <w:t>yapılmıştır</w:t>
      </w:r>
      <w:r w:rsidR="00D10231"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color w:val="000000" w:themeColor="text1"/>
          <w:sz w:val="24"/>
          <w:szCs w:val="24"/>
          <w:shd w:val="clear" w:color="auto" w:fill="FFFFFF"/>
          <w:lang w:val="tr-TR" w:eastAsia="ru-RU"/>
        </w:rPr>
        <w:t xml:space="preserve">Anketin amacı, ailelerin yıl boyunca sağlık hizmetlerine yaptıkları harcamalar hakkında veri elde etmektir. Katkı payının temelini oluşturan ortalama maliyet </w:t>
      </w:r>
      <w:r w:rsidR="00D10231" w:rsidRPr="007D507F">
        <w:rPr>
          <w:rFonts w:ascii="Times New Roman" w:eastAsia="Times New Roman" w:hAnsi="Times New Roman" w:cs="Times New Roman"/>
          <w:color w:val="000000" w:themeColor="text1"/>
          <w:sz w:val="24"/>
          <w:szCs w:val="24"/>
          <w:shd w:val="clear" w:color="auto" w:fill="FFFFFF"/>
          <w:lang w:val="tr-TR" w:eastAsia="ru-RU"/>
        </w:rPr>
        <w:t xml:space="preserve">1200 Som olarak belirlendi. </w:t>
      </w:r>
      <w:r w:rsidR="0001416C" w:rsidRPr="007D507F">
        <w:rPr>
          <w:rFonts w:ascii="Times New Roman" w:eastAsia="Times New Roman" w:hAnsi="Times New Roman" w:cs="Times New Roman"/>
          <w:sz w:val="24"/>
          <w:szCs w:val="24"/>
          <w:shd w:val="clear" w:color="auto" w:fill="FFFFFF"/>
          <w:lang w:val="tr-TR" w:eastAsia="ru-RU"/>
        </w:rPr>
        <w:t xml:space="preserve">Bu maliyetin, </w:t>
      </w:r>
      <w:r w:rsidR="0001416C" w:rsidRPr="007D507F">
        <w:rPr>
          <w:rFonts w:ascii="Times New Roman" w:eastAsia="Times New Roman" w:hAnsi="Times New Roman" w:cs="Times New Roman"/>
          <w:color w:val="000000" w:themeColor="text1"/>
          <w:sz w:val="24"/>
          <w:szCs w:val="24"/>
          <w:shd w:val="clear" w:color="auto" w:fill="FFFFFF"/>
          <w:lang w:val="tr-TR" w:eastAsia="ru-RU"/>
        </w:rPr>
        <w:t>b</w:t>
      </w:r>
      <w:r w:rsidRPr="007D507F">
        <w:rPr>
          <w:rFonts w:ascii="Times New Roman" w:eastAsia="Times New Roman" w:hAnsi="Times New Roman" w:cs="Times New Roman"/>
          <w:color w:val="000000" w:themeColor="text1"/>
          <w:sz w:val="24"/>
          <w:szCs w:val="24"/>
          <w:shd w:val="clear" w:color="auto" w:fill="FFFFFF"/>
          <w:lang w:val="tr-TR" w:eastAsia="ru-RU"/>
        </w:rPr>
        <w:t xml:space="preserve">elirli bir hasta için gerçek maliyetlere ve hastalığının türüne karşılık gelmediği, sağlık hizmetlerinin </w:t>
      </w:r>
      <w:r w:rsidR="0001416C" w:rsidRPr="007D507F">
        <w:rPr>
          <w:rFonts w:ascii="Times New Roman" w:eastAsia="Times New Roman" w:hAnsi="Times New Roman" w:cs="Times New Roman"/>
          <w:color w:val="000000" w:themeColor="text1"/>
          <w:sz w:val="24"/>
          <w:szCs w:val="24"/>
          <w:shd w:val="clear" w:color="auto" w:fill="FFFFFF"/>
          <w:lang w:val="tr-TR" w:eastAsia="ru-RU"/>
        </w:rPr>
        <w:t xml:space="preserve">finansal kaynaklarda </w:t>
      </w:r>
      <w:r w:rsidRPr="007D507F">
        <w:rPr>
          <w:rFonts w:ascii="Times New Roman" w:eastAsia="Times New Roman" w:hAnsi="Times New Roman" w:cs="Times New Roman"/>
          <w:color w:val="000000" w:themeColor="text1"/>
          <w:sz w:val="24"/>
          <w:szCs w:val="24"/>
          <w:shd w:val="clear" w:color="auto" w:fill="FFFFFF"/>
          <w:lang w:val="tr-TR" w:eastAsia="ru-RU"/>
        </w:rPr>
        <w:t>ihtiyaçlarına dayandığı ortaya çık</w:t>
      </w:r>
      <w:r w:rsidR="00D10231" w:rsidRPr="007D507F">
        <w:rPr>
          <w:rFonts w:ascii="Times New Roman" w:eastAsia="Times New Roman" w:hAnsi="Times New Roman" w:cs="Times New Roman"/>
          <w:color w:val="000000" w:themeColor="text1"/>
          <w:sz w:val="24"/>
          <w:szCs w:val="24"/>
          <w:shd w:val="clear" w:color="auto" w:fill="FFFFFF"/>
          <w:lang w:val="tr-TR" w:eastAsia="ru-RU"/>
        </w:rPr>
        <w:t>mıştır</w:t>
      </w:r>
      <w:r w:rsidR="00296224" w:rsidRPr="007D507F">
        <w:rPr>
          <w:rFonts w:ascii="Times New Roman" w:eastAsia="Times New Roman" w:hAnsi="Times New Roman" w:cs="Times New Roman"/>
          <w:color w:val="000000" w:themeColor="text1"/>
          <w:sz w:val="24"/>
          <w:szCs w:val="24"/>
          <w:shd w:val="clear" w:color="auto" w:fill="FFFFFF"/>
          <w:lang w:val="tr-TR" w:eastAsia="ru-RU"/>
        </w:rPr>
        <w:t xml:space="preserve">. Ayrıca, bu hüküm – </w:t>
      </w:r>
      <w:r w:rsidRPr="007D507F">
        <w:rPr>
          <w:rFonts w:ascii="Times New Roman" w:eastAsia="Times New Roman" w:hAnsi="Times New Roman" w:cs="Times New Roman"/>
          <w:color w:val="000000" w:themeColor="text1"/>
          <w:sz w:val="24"/>
          <w:szCs w:val="24"/>
          <w:shd w:val="clear" w:color="auto" w:fill="FFFFFF"/>
          <w:lang w:val="tr-TR" w:eastAsia="ru-RU"/>
        </w:rPr>
        <w:t>“</w:t>
      </w:r>
      <w:r w:rsidR="00D10231" w:rsidRPr="007D507F">
        <w:rPr>
          <w:rFonts w:ascii="Times New Roman" w:eastAsia="Times New Roman" w:hAnsi="Times New Roman" w:cs="Times New Roman"/>
          <w:color w:val="000000" w:themeColor="text1"/>
          <w:sz w:val="24"/>
          <w:szCs w:val="24"/>
          <w:shd w:val="clear" w:color="auto" w:fill="FFFFFF"/>
          <w:lang w:val="tr-TR" w:eastAsia="ru-RU"/>
        </w:rPr>
        <w:t xml:space="preserve">Nüfus ilaçlarının katkı payının </w:t>
      </w:r>
      <w:r w:rsidR="0001416C" w:rsidRPr="007D507F">
        <w:rPr>
          <w:rFonts w:ascii="Times New Roman" w:eastAsia="Times New Roman" w:hAnsi="Times New Roman" w:cs="Times New Roman"/>
          <w:color w:val="000000" w:themeColor="text1"/>
          <w:sz w:val="24"/>
          <w:szCs w:val="24"/>
          <w:shd w:val="clear" w:color="auto" w:fill="FFFFFF"/>
          <w:lang w:val="tr-TR" w:eastAsia="ru-RU"/>
        </w:rPr>
        <w:t xml:space="preserve">ödeme usulüne </w:t>
      </w:r>
      <w:r w:rsidR="00D10231" w:rsidRPr="007D507F">
        <w:rPr>
          <w:rFonts w:ascii="Times New Roman" w:eastAsia="Times New Roman" w:hAnsi="Times New Roman" w:cs="Times New Roman"/>
          <w:color w:val="000000" w:themeColor="text1"/>
          <w:sz w:val="24"/>
          <w:szCs w:val="24"/>
          <w:shd w:val="clear" w:color="auto" w:fill="FFFFFF"/>
          <w:lang w:val="tr-TR" w:eastAsia="ru-RU"/>
        </w:rPr>
        <w:t xml:space="preserve">ilişkin </w:t>
      </w:r>
      <w:r w:rsidRPr="007D507F">
        <w:rPr>
          <w:rFonts w:ascii="Times New Roman" w:eastAsia="Times New Roman" w:hAnsi="Times New Roman" w:cs="Times New Roman"/>
          <w:color w:val="000000" w:themeColor="text1"/>
          <w:sz w:val="24"/>
          <w:szCs w:val="24"/>
          <w:shd w:val="clear" w:color="auto" w:fill="FFFFFF"/>
          <w:lang w:val="tr-TR" w:eastAsia="ru-RU"/>
        </w:rPr>
        <w:t>Yönetmelik” belgesinde formüle edilmiştir (Kırgız Cumhuriyeti tıbbi hi</w:t>
      </w:r>
      <w:r w:rsidR="00D10231" w:rsidRPr="007D507F">
        <w:rPr>
          <w:rFonts w:ascii="Times New Roman" w:eastAsia="Times New Roman" w:hAnsi="Times New Roman" w:cs="Times New Roman"/>
          <w:color w:val="000000" w:themeColor="text1"/>
          <w:sz w:val="24"/>
          <w:szCs w:val="24"/>
          <w:shd w:val="clear" w:color="auto" w:fill="FFFFFF"/>
          <w:lang w:val="tr-TR" w:eastAsia="ru-RU"/>
        </w:rPr>
        <w:t xml:space="preserve">zmetler için </w:t>
      </w:r>
      <w:r w:rsidR="00D10231" w:rsidRPr="007D507F">
        <w:rPr>
          <w:rFonts w:ascii="Times New Roman" w:eastAsia="Times New Roman" w:hAnsi="Times New Roman" w:cs="Times New Roman"/>
          <w:sz w:val="24"/>
          <w:szCs w:val="24"/>
          <w:shd w:val="clear" w:color="auto" w:fill="FFFFFF"/>
          <w:lang w:val="tr-TR" w:eastAsia="ru-RU"/>
        </w:rPr>
        <w:t>k</w:t>
      </w:r>
      <w:r w:rsidR="0001416C" w:rsidRPr="007D507F">
        <w:rPr>
          <w:rFonts w:ascii="Times New Roman" w:eastAsia="Times New Roman" w:hAnsi="Times New Roman" w:cs="Times New Roman"/>
          <w:sz w:val="24"/>
          <w:szCs w:val="24"/>
          <w:shd w:val="clear" w:color="auto" w:fill="FFFFFF"/>
          <w:lang w:val="tr-TR" w:eastAsia="ru-RU"/>
        </w:rPr>
        <w:t>atkı payına</w:t>
      </w:r>
      <w:r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color w:val="000000" w:themeColor="text1"/>
          <w:sz w:val="24"/>
          <w:szCs w:val="24"/>
          <w:shd w:val="clear" w:color="auto" w:fill="FFFFFF"/>
          <w:lang w:val="tr-TR" w:eastAsia="ru-RU"/>
        </w:rPr>
        <w:t>ilişkin Yönetmelik, 2015).</w:t>
      </w:r>
    </w:p>
    <w:p w14:paraId="7B00831C" w14:textId="42B06DD0" w:rsidR="00604B06" w:rsidRPr="007D507F" w:rsidRDefault="00604B06" w:rsidP="007D507F">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t xml:space="preserve">Tabii ki, bu yaklaşımla, katkı payı miktarını ve her bir hastayı tedavi etmenin gerçek maliyetlerini belirlemek için herhangi bir kriter belirlemek zor bir </w:t>
      </w:r>
      <w:r w:rsidRPr="007D507F">
        <w:rPr>
          <w:rFonts w:ascii="Times New Roman" w:eastAsia="Times New Roman" w:hAnsi="Times New Roman" w:cs="Times New Roman"/>
          <w:sz w:val="24"/>
          <w:szCs w:val="24"/>
          <w:shd w:val="clear" w:color="auto" w:fill="FFFFFF"/>
          <w:lang w:val="tr-TR" w:eastAsia="ru-RU"/>
        </w:rPr>
        <w:t xml:space="preserve">iş </w:t>
      </w:r>
      <w:r w:rsidR="007C42A0" w:rsidRPr="007D507F">
        <w:rPr>
          <w:rFonts w:ascii="Times New Roman" w:eastAsia="Times New Roman" w:hAnsi="Times New Roman" w:cs="Times New Roman"/>
          <w:sz w:val="24"/>
          <w:szCs w:val="24"/>
          <w:shd w:val="clear" w:color="auto" w:fill="FFFFFF"/>
          <w:lang w:val="tr-TR" w:eastAsia="ru-RU"/>
        </w:rPr>
        <w:t>haline gelmiştir</w:t>
      </w:r>
      <w:r w:rsidRPr="007D507F">
        <w:rPr>
          <w:rFonts w:ascii="Times New Roman" w:eastAsia="Times New Roman" w:hAnsi="Times New Roman" w:cs="Times New Roman"/>
          <w:sz w:val="24"/>
          <w:szCs w:val="24"/>
          <w:shd w:val="clear" w:color="auto" w:fill="FFFFFF"/>
          <w:lang w:val="tr-TR" w:eastAsia="ru-RU"/>
        </w:rPr>
        <w:t>.</w:t>
      </w:r>
      <w:r w:rsidR="007C42A0" w:rsidRPr="007D507F">
        <w:rPr>
          <w:rFonts w:ascii="Times New Roman" w:eastAsia="Times New Roman" w:hAnsi="Times New Roman" w:cs="Times New Roman"/>
          <w:color w:val="C00000"/>
          <w:sz w:val="24"/>
          <w:szCs w:val="24"/>
          <w:shd w:val="clear" w:color="auto" w:fill="FFFFFF"/>
          <w:lang w:val="tr-TR" w:eastAsia="ru-RU"/>
        </w:rPr>
        <w:t xml:space="preserve"> </w:t>
      </w:r>
      <w:r w:rsidRPr="007D507F">
        <w:rPr>
          <w:rFonts w:ascii="Times New Roman" w:eastAsia="Times New Roman" w:hAnsi="Times New Roman" w:cs="Times New Roman"/>
          <w:color w:val="000000" w:themeColor="text1"/>
          <w:sz w:val="24"/>
          <w:szCs w:val="24"/>
          <w:shd w:val="clear" w:color="auto" w:fill="FFFFFF"/>
          <w:lang w:val="tr-TR" w:eastAsia="ru-RU"/>
        </w:rPr>
        <w:t>2019 yılı verilerine göre toplam finansman kaynakları içerisinde katkı payı tutarı %4’ü</w:t>
      </w:r>
      <w:r w:rsidRPr="007D507F">
        <w:rPr>
          <w:rFonts w:ascii="Times New Roman" w:eastAsia="Times New Roman" w:hAnsi="Times New Roman" w:cs="Times New Roman"/>
          <w:sz w:val="24"/>
          <w:szCs w:val="24"/>
          <w:shd w:val="clear" w:color="auto" w:fill="FFFFFF"/>
          <w:lang w:val="tr-TR" w:eastAsia="ru-RU"/>
        </w:rPr>
        <w:t xml:space="preserve"> geçme</w:t>
      </w:r>
      <w:r w:rsidR="007C42A0" w:rsidRPr="007D507F">
        <w:rPr>
          <w:rFonts w:ascii="Times New Roman" w:eastAsia="Times New Roman" w:hAnsi="Times New Roman" w:cs="Times New Roman"/>
          <w:sz w:val="24"/>
          <w:szCs w:val="24"/>
          <w:shd w:val="clear" w:color="auto" w:fill="FFFFFF"/>
          <w:lang w:val="tr-TR" w:eastAsia="ru-RU"/>
        </w:rPr>
        <w:t xml:space="preserve">miştir </w:t>
      </w:r>
      <w:r w:rsidRPr="007D507F">
        <w:rPr>
          <w:rFonts w:ascii="Times New Roman" w:eastAsia="Times New Roman" w:hAnsi="Times New Roman" w:cs="Times New Roman"/>
          <w:color w:val="000000" w:themeColor="text1"/>
          <w:sz w:val="24"/>
          <w:szCs w:val="24"/>
          <w:shd w:val="clear" w:color="auto" w:fill="FFFFFF"/>
          <w:lang w:val="tr-TR" w:eastAsia="ru-RU"/>
        </w:rPr>
        <w:t>(Tablo 5).</w:t>
      </w:r>
    </w:p>
    <w:p w14:paraId="44B45302" w14:textId="4382A0C2" w:rsidR="000D4757" w:rsidRPr="007D507F" w:rsidRDefault="000D4757" w:rsidP="007D507F">
      <w:pPr>
        <w:spacing w:before="120"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b/>
          <w:sz w:val="24"/>
          <w:szCs w:val="24"/>
          <w:shd w:val="clear" w:color="auto" w:fill="FFFFFF"/>
          <w:lang w:val="tr-TR" w:eastAsia="ru-RU"/>
        </w:rPr>
        <w:t>Tablo 5.</w:t>
      </w:r>
      <w:r w:rsidRPr="007D507F">
        <w:rPr>
          <w:rFonts w:ascii="Times New Roman" w:eastAsia="Times New Roman" w:hAnsi="Times New Roman" w:cs="Times New Roman"/>
          <w:sz w:val="24"/>
          <w:szCs w:val="24"/>
          <w:shd w:val="clear" w:color="auto" w:fill="FFFFFF"/>
          <w:lang w:val="tr-TR" w:eastAsia="ru-RU"/>
        </w:rPr>
        <w:t xml:space="preserve"> Kırgız Cumhuriyeti Tek Ödeme Sisteminin 2</w:t>
      </w:r>
      <w:r w:rsidR="00B32D18" w:rsidRPr="007D507F">
        <w:rPr>
          <w:rFonts w:ascii="Times New Roman" w:eastAsia="Times New Roman" w:hAnsi="Times New Roman" w:cs="Times New Roman"/>
          <w:sz w:val="24"/>
          <w:szCs w:val="24"/>
          <w:shd w:val="clear" w:color="auto" w:fill="FFFFFF"/>
          <w:lang w:val="tr-TR" w:eastAsia="ru-RU"/>
        </w:rPr>
        <w:t xml:space="preserve">009-2019 yılları için konsolide </w:t>
      </w:r>
      <w:r w:rsidRPr="007D507F">
        <w:rPr>
          <w:rFonts w:ascii="Times New Roman" w:eastAsia="Times New Roman" w:hAnsi="Times New Roman" w:cs="Times New Roman"/>
          <w:sz w:val="24"/>
          <w:szCs w:val="24"/>
          <w:shd w:val="clear" w:color="auto" w:fill="FFFFFF"/>
          <w:lang w:val="tr-TR" w:eastAsia="ru-RU"/>
        </w:rPr>
        <w:t>bütçe</w:t>
      </w:r>
      <w:r w:rsidR="00B32D18"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sz w:val="24"/>
          <w:szCs w:val="24"/>
          <w:shd w:val="clear" w:color="auto" w:fill="FFFFFF"/>
          <w:lang w:val="tr-TR" w:eastAsia="ru-RU"/>
        </w:rPr>
        <w:t>finansman kaynaklarının dinamikleri (milyon Som)</w:t>
      </w:r>
    </w:p>
    <w:tbl>
      <w:tblPr>
        <w:tblW w:w="5006" w:type="pct"/>
        <w:jc w:val="center"/>
        <w:tblBorders>
          <w:bottom w:val="single" w:sz="4" w:space="0" w:color="auto"/>
        </w:tblBorders>
        <w:tblLayout w:type="fixed"/>
        <w:tblLook w:val="04A0" w:firstRow="1" w:lastRow="0" w:firstColumn="1" w:lastColumn="0" w:noHBand="0" w:noVBand="1"/>
      </w:tblPr>
      <w:tblGrid>
        <w:gridCol w:w="1527"/>
        <w:gridCol w:w="993"/>
        <w:gridCol w:w="993"/>
        <w:gridCol w:w="1135"/>
        <w:gridCol w:w="993"/>
        <w:gridCol w:w="993"/>
        <w:gridCol w:w="991"/>
        <w:gridCol w:w="993"/>
        <w:gridCol w:w="964"/>
      </w:tblGrid>
      <w:tr w:rsidR="000D4757" w:rsidRPr="007F3F6C" w14:paraId="328B8F63" w14:textId="77777777" w:rsidTr="00566D69">
        <w:trPr>
          <w:cantSplit/>
          <w:trHeight w:val="809"/>
          <w:jc w:val="center"/>
        </w:trPr>
        <w:tc>
          <w:tcPr>
            <w:tcW w:w="797" w:type="pct"/>
            <w:tcBorders>
              <w:top w:val="single" w:sz="4" w:space="0" w:color="auto"/>
              <w:bottom w:val="single" w:sz="4" w:space="0" w:color="auto"/>
            </w:tcBorders>
            <w:shd w:val="clear" w:color="auto" w:fill="auto"/>
            <w:noWrap/>
            <w:vAlign w:val="center"/>
            <w:hideMark/>
          </w:tcPr>
          <w:p w14:paraId="54E1409A" w14:textId="77777777" w:rsidR="000D4757" w:rsidRPr="00B830A1" w:rsidRDefault="000D4757" w:rsidP="00566D69">
            <w:pPr>
              <w:spacing w:after="0" w:line="240" w:lineRule="auto"/>
              <w:jc w:val="center"/>
              <w:rPr>
                <w:rFonts w:ascii="Times New Roman" w:eastAsia="Times New Roman" w:hAnsi="Times New Roman" w:cs="Times New Roman"/>
                <w:b/>
                <w:szCs w:val="20"/>
                <w:lang w:val="tr-TR" w:eastAsia="ru-RU"/>
              </w:rPr>
            </w:pPr>
            <w:r>
              <w:rPr>
                <w:rFonts w:ascii="Times New Roman" w:eastAsia="Times New Roman" w:hAnsi="Times New Roman" w:cs="Times New Roman"/>
                <w:b/>
                <w:szCs w:val="20"/>
                <w:lang w:val="tr-TR" w:eastAsia="ru-RU"/>
              </w:rPr>
              <w:t>Finansman kaynakları</w:t>
            </w:r>
          </w:p>
        </w:tc>
        <w:tc>
          <w:tcPr>
            <w:tcW w:w="518" w:type="pct"/>
            <w:tcBorders>
              <w:top w:val="single" w:sz="4" w:space="0" w:color="auto"/>
              <w:bottom w:val="single" w:sz="4" w:space="0" w:color="auto"/>
            </w:tcBorders>
            <w:shd w:val="clear" w:color="auto" w:fill="auto"/>
            <w:noWrap/>
            <w:vAlign w:val="center"/>
            <w:hideMark/>
          </w:tcPr>
          <w:p w14:paraId="60783BB8" w14:textId="77777777" w:rsidR="000D4757" w:rsidRPr="007F3F6C" w:rsidRDefault="000D4757" w:rsidP="00566D69">
            <w:pPr>
              <w:spacing w:after="0" w:line="240" w:lineRule="auto"/>
              <w:jc w:val="center"/>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2009</w:t>
            </w:r>
          </w:p>
        </w:tc>
        <w:tc>
          <w:tcPr>
            <w:tcW w:w="518" w:type="pct"/>
            <w:tcBorders>
              <w:top w:val="single" w:sz="4" w:space="0" w:color="auto"/>
              <w:bottom w:val="single" w:sz="4" w:space="0" w:color="auto"/>
            </w:tcBorders>
            <w:shd w:val="clear" w:color="auto" w:fill="auto"/>
            <w:noWrap/>
            <w:vAlign w:val="center"/>
            <w:hideMark/>
          </w:tcPr>
          <w:p w14:paraId="7F97F1A2" w14:textId="77777777" w:rsidR="000D4757" w:rsidRPr="007F3F6C" w:rsidRDefault="000D4757" w:rsidP="00566D69">
            <w:pPr>
              <w:spacing w:after="0" w:line="240" w:lineRule="auto"/>
              <w:ind w:hanging="119"/>
              <w:jc w:val="center"/>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2011</w:t>
            </w:r>
          </w:p>
        </w:tc>
        <w:tc>
          <w:tcPr>
            <w:tcW w:w="592" w:type="pct"/>
            <w:tcBorders>
              <w:top w:val="single" w:sz="4" w:space="0" w:color="auto"/>
              <w:bottom w:val="single" w:sz="4" w:space="0" w:color="auto"/>
            </w:tcBorders>
            <w:shd w:val="clear" w:color="auto" w:fill="auto"/>
            <w:noWrap/>
            <w:vAlign w:val="center"/>
            <w:hideMark/>
          </w:tcPr>
          <w:p w14:paraId="031DD45C" w14:textId="77777777" w:rsidR="000D4757" w:rsidRPr="007F3F6C" w:rsidRDefault="000D4757" w:rsidP="00566D69">
            <w:pPr>
              <w:spacing w:after="0" w:line="240" w:lineRule="auto"/>
              <w:ind w:hanging="119"/>
              <w:jc w:val="center"/>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2012</w:t>
            </w:r>
          </w:p>
        </w:tc>
        <w:tc>
          <w:tcPr>
            <w:tcW w:w="518" w:type="pct"/>
            <w:tcBorders>
              <w:top w:val="single" w:sz="4" w:space="0" w:color="auto"/>
              <w:bottom w:val="single" w:sz="4" w:space="0" w:color="auto"/>
            </w:tcBorders>
            <w:shd w:val="clear" w:color="auto" w:fill="auto"/>
            <w:noWrap/>
            <w:vAlign w:val="center"/>
            <w:hideMark/>
          </w:tcPr>
          <w:p w14:paraId="2A686E51" w14:textId="77777777" w:rsidR="000D4757" w:rsidRPr="007F3F6C" w:rsidRDefault="000D4757" w:rsidP="00566D69">
            <w:pPr>
              <w:spacing w:after="0" w:line="240" w:lineRule="auto"/>
              <w:ind w:hanging="119"/>
              <w:jc w:val="center"/>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2014</w:t>
            </w:r>
          </w:p>
        </w:tc>
        <w:tc>
          <w:tcPr>
            <w:tcW w:w="518" w:type="pct"/>
            <w:tcBorders>
              <w:top w:val="single" w:sz="4" w:space="0" w:color="auto"/>
              <w:bottom w:val="single" w:sz="4" w:space="0" w:color="auto"/>
            </w:tcBorders>
            <w:shd w:val="clear" w:color="auto" w:fill="auto"/>
            <w:noWrap/>
            <w:vAlign w:val="center"/>
            <w:hideMark/>
          </w:tcPr>
          <w:p w14:paraId="035CE94E" w14:textId="77777777" w:rsidR="000D4757" w:rsidRPr="007F3F6C" w:rsidRDefault="000D4757" w:rsidP="00566D69">
            <w:pPr>
              <w:spacing w:after="0" w:line="240" w:lineRule="auto"/>
              <w:jc w:val="center"/>
              <w:rPr>
                <w:rFonts w:ascii="Times New Roman" w:eastAsia="Times New Roman" w:hAnsi="Times New Roman" w:cs="Times New Roman"/>
                <w:b/>
                <w:szCs w:val="20"/>
                <w:lang w:eastAsia="ru-RU"/>
              </w:rPr>
            </w:pPr>
            <w:r w:rsidRPr="007F3F6C">
              <w:rPr>
                <w:rFonts w:ascii="Times New Roman" w:eastAsia="Times New Roman" w:hAnsi="Times New Roman" w:cs="Times New Roman"/>
                <w:b/>
                <w:szCs w:val="20"/>
                <w:lang w:eastAsia="ru-RU"/>
              </w:rPr>
              <w:t>2016</w:t>
            </w:r>
          </w:p>
        </w:tc>
        <w:tc>
          <w:tcPr>
            <w:tcW w:w="517" w:type="pct"/>
            <w:tcBorders>
              <w:top w:val="single" w:sz="4" w:space="0" w:color="auto"/>
              <w:bottom w:val="single" w:sz="4" w:space="0" w:color="auto"/>
            </w:tcBorders>
            <w:vAlign w:val="center"/>
          </w:tcPr>
          <w:p w14:paraId="1E6F1195" w14:textId="77777777" w:rsidR="000D4757" w:rsidRPr="007F3F6C" w:rsidRDefault="000D4757" w:rsidP="00566D69">
            <w:pPr>
              <w:spacing w:after="0" w:line="240" w:lineRule="auto"/>
              <w:rPr>
                <w:rFonts w:ascii="Times New Roman" w:hAnsi="Times New Roman" w:cs="Times New Roman"/>
                <w:b/>
                <w:szCs w:val="20"/>
              </w:rPr>
            </w:pPr>
            <w:r w:rsidRPr="007F3F6C">
              <w:rPr>
                <w:rFonts w:ascii="Times New Roman" w:hAnsi="Times New Roman" w:cs="Times New Roman"/>
                <w:b/>
                <w:szCs w:val="20"/>
              </w:rPr>
              <w:t>2018</w:t>
            </w:r>
          </w:p>
        </w:tc>
        <w:tc>
          <w:tcPr>
            <w:tcW w:w="518" w:type="pct"/>
            <w:tcBorders>
              <w:top w:val="single" w:sz="4" w:space="0" w:color="auto"/>
              <w:bottom w:val="single" w:sz="4" w:space="0" w:color="auto"/>
            </w:tcBorders>
            <w:vAlign w:val="center"/>
          </w:tcPr>
          <w:p w14:paraId="2602361B" w14:textId="77777777" w:rsidR="000D4757" w:rsidRPr="007F3F6C" w:rsidRDefault="000D4757" w:rsidP="00566D69">
            <w:pPr>
              <w:spacing w:after="0" w:line="240" w:lineRule="auto"/>
              <w:rPr>
                <w:rFonts w:ascii="Times New Roman" w:hAnsi="Times New Roman" w:cs="Times New Roman"/>
                <w:b/>
                <w:szCs w:val="20"/>
              </w:rPr>
            </w:pPr>
            <w:r w:rsidRPr="007F3F6C">
              <w:rPr>
                <w:rFonts w:ascii="Times New Roman" w:hAnsi="Times New Roman" w:cs="Times New Roman"/>
                <w:b/>
                <w:szCs w:val="20"/>
              </w:rPr>
              <w:t>2019</w:t>
            </w:r>
          </w:p>
        </w:tc>
        <w:tc>
          <w:tcPr>
            <w:tcW w:w="503" w:type="pct"/>
            <w:tcBorders>
              <w:top w:val="single" w:sz="4" w:space="0" w:color="auto"/>
              <w:bottom w:val="single" w:sz="4" w:space="0" w:color="auto"/>
            </w:tcBorders>
            <w:vAlign w:val="center"/>
          </w:tcPr>
          <w:p w14:paraId="3DE26D65" w14:textId="77777777" w:rsidR="000D4757" w:rsidRPr="00B830A1" w:rsidRDefault="000D4757" w:rsidP="00566D69">
            <w:pPr>
              <w:spacing w:after="0" w:line="240" w:lineRule="auto"/>
              <w:jc w:val="center"/>
              <w:rPr>
                <w:rFonts w:ascii="Times New Roman" w:hAnsi="Times New Roman" w:cs="Times New Roman"/>
                <w:b/>
                <w:szCs w:val="20"/>
                <w:lang w:val="tr-TR"/>
              </w:rPr>
            </w:pPr>
            <w:r w:rsidRPr="007F3F6C">
              <w:rPr>
                <w:rFonts w:ascii="Times New Roman" w:hAnsi="Times New Roman" w:cs="Times New Roman"/>
                <w:b/>
                <w:szCs w:val="20"/>
              </w:rPr>
              <w:t xml:space="preserve">2019 </w:t>
            </w:r>
            <w:r>
              <w:rPr>
                <w:rFonts w:ascii="Times New Roman" w:hAnsi="Times New Roman" w:cs="Times New Roman"/>
                <w:b/>
                <w:szCs w:val="20"/>
                <w:lang w:val="tr-TR"/>
              </w:rPr>
              <w:t>y</w:t>
            </w:r>
            <w:r w:rsidRPr="007F3F6C">
              <w:rPr>
                <w:rFonts w:ascii="Times New Roman" w:hAnsi="Times New Roman" w:cs="Times New Roman"/>
                <w:b/>
                <w:szCs w:val="20"/>
              </w:rPr>
              <w:t xml:space="preserve">. 2009 </w:t>
            </w:r>
            <w:r>
              <w:rPr>
                <w:rFonts w:ascii="Times New Roman" w:hAnsi="Times New Roman" w:cs="Times New Roman"/>
                <w:b/>
                <w:szCs w:val="20"/>
                <w:lang w:val="tr-TR"/>
              </w:rPr>
              <w:t>y</w:t>
            </w:r>
            <w:r w:rsidRPr="007F3F6C">
              <w:rPr>
                <w:rFonts w:ascii="Times New Roman" w:hAnsi="Times New Roman" w:cs="Times New Roman"/>
                <w:b/>
                <w:szCs w:val="20"/>
              </w:rPr>
              <w:t>.</w:t>
            </w:r>
            <w:r>
              <w:rPr>
                <w:rFonts w:ascii="Times New Roman" w:hAnsi="Times New Roman" w:cs="Times New Roman"/>
                <w:b/>
                <w:szCs w:val="20"/>
                <w:lang w:val="tr-TR"/>
              </w:rPr>
              <w:t xml:space="preserve"> göre % değişim</w:t>
            </w:r>
          </w:p>
        </w:tc>
      </w:tr>
      <w:tr w:rsidR="000D4757" w:rsidRPr="007F3F6C" w14:paraId="51878F06" w14:textId="77777777" w:rsidTr="00566D69">
        <w:trPr>
          <w:cantSplit/>
          <w:trHeight w:val="794"/>
          <w:jc w:val="center"/>
        </w:trPr>
        <w:tc>
          <w:tcPr>
            <w:tcW w:w="797" w:type="pct"/>
            <w:tcBorders>
              <w:top w:val="single" w:sz="4" w:space="0" w:color="auto"/>
              <w:left w:val="nil"/>
              <w:bottom w:val="nil"/>
              <w:right w:val="nil"/>
            </w:tcBorders>
            <w:shd w:val="clear" w:color="auto" w:fill="auto"/>
            <w:noWrap/>
            <w:vAlign w:val="center"/>
            <w:hideMark/>
          </w:tcPr>
          <w:p w14:paraId="2F089EAF" w14:textId="77777777" w:rsidR="000D4757" w:rsidRPr="00240352" w:rsidRDefault="000D4757" w:rsidP="00566D69">
            <w:pPr>
              <w:spacing w:after="0" w:line="240" w:lineRule="auto"/>
              <w:rPr>
                <w:rFonts w:ascii="Times New Roman" w:eastAsia="Times New Roman" w:hAnsi="Times New Roman" w:cs="Times New Roman"/>
                <w:lang w:val="tr-TR" w:eastAsia="ru-RU"/>
              </w:rPr>
            </w:pPr>
            <w:r>
              <w:rPr>
                <w:rFonts w:ascii="Times New Roman" w:eastAsia="Times New Roman" w:hAnsi="Times New Roman" w:cs="Times New Roman"/>
                <w:lang w:val="tr-TR" w:eastAsia="ru-RU"/>
              </w:rPr>
              <w:t>Devlet bütçesi</w:t>
            </w:r>
          </w:p>
        </w:tc>
        <w:tc>
          <w:tcPr>
            <w:tcW w:w="518" w:type="pct"/>
            <w:tcBorders>
              <w:top w:val="single" w:sz="4" w:space="0" w:color="auto"/>
              <w:left w:val="nil"/>
              <w:bottom w:val="nil"/>
              <w:right w:val="nil"/>
            </w:tcBorders>
            <w:shd w:val="clear" w:color="auto" w:fill="auto"/>
            <w:vAlign w:val="center"/>
            <w:hideMark/>
          </w:tcPr>
          <w:p w14:paraId="78BC719E"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4008,3</w:t>
            </w:r>
          </w:p>
        </w:tc>
        <w:tc>
          <w:tcPr>
            <w:tcW w:w="518" w:type="pct"/>
            <w:tcBorders>
              <w:top w:val="single" w:sz="4" w:space="0" w:color="auto"/>
              <w:left w:val="nil"/>
              <w:bottom w:val="nil"/>
              <w:right w:val="nil"/>
            </w:tcBorders>
            <w:shd w:val="clear" w:color="auto" w:fill="auto"/>
            <w:vAlign w:val="center"/>
            <w:hideMark/>
          </w:tcPr>
          <w:p w14:paraId="705FB6A0"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6056,7</w:t>
            </w:r>
          </w:p>
        </w:tc>
        <w:tc>
          <w:tcPr>
            <w:tcW w:w="592" w:type="pct"/>
            <w:tcBorders>
              <w:top w:val="single" w:sz="4" w:space="0" w:color="auto"/>
              <w:left w:val="nil"/>
              <w:bottom w:val="nil"/>
              <w:right w:val="nil"/>
            </w:tcBorders>
            <w:shd w:val="clear" w:color="auto" w:fill="auto"/>
            <w:vAlign w:val="center"/>
            <w:hideMark/>
          </w:tcPr>
          <w:p w14:paraId="22EE1E79"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7920</w:t>
            </w:r>
          </w:p>
        </w:tc>
        <w:tc>
          <w:tcPr>
            <w:tcW w:w="518" w:type="pct"/>
            <w:tcBorders>
              <w:top w:val="single" w:sz="4" w:space="0" w:color="auto"/>
              <w:left w:val="nil"/>
              <w:bottom w:val="nil"/>
              <w:right w:val="nil"/>
            </w:tcBorders>
            <w:shd w:val="clear" w:color="auto" w:fill="auto"/>
            <w:vAlign w:val="center"/>
            <w:hideMark/>
          </w:tcPr>
          <w:p w14:paraId="2413D5A9" w14:textId="77777777" w:rsidR="000D4757" w:rsidRPr="007F3F6C" w:rsidRDefault="000D4757" w:rsidP="00566D69">
            <w:pPr>
              <w:spacing w:after="0" w:line="240" w:lineRule="auto"/>
              <w:ind w:hanging="107"/>
              <w:rPr>
                <w:rFonts w:ascii="Times New Roman" w:hAnsi="Times New Roman" w:cs="Times New Roman"/>
              </w:rPr>
            </w:pPr>
            <w:r w:rsidRPr="007F3F6C">
              <w:rPr>
                <w:rFonts w:ascii="Times New Roman" w:hAnsi="Times New Roman" w:cs="Times New Roman"/>
              </w:rPr>
              <w:t>8177,1</w:t>
            </w:r>
          </w:p>
        </w:tc>
        <w:tc>
          <w:tcPr>
            <w:tcW w:w="518" w:type="pct"/>
            <w:tcBorders>
              <w:top w:val="single" w:sz="4" w:space="0" w:color="auto"/>
              <w:left w:val="nil"/>
              <w:bottom w:val="nil"/>
              <w:right w:val="nil"/>
            </w:tcBorders>
            <w:shd w:val="clear" w:color="auto" w:fill="auto"/>
            <w:vAlign w:val="center"/>
          </w:tcPr>
          <w:p w14:paraId="27F875BC"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9081,8</w:t>
            </w:r>
          </w:p>
        </w:tc>
        <w:tc>
          <w:tcPr>
            <w:tcW w:w="517" w:type="pct"/>
            <w:tcBorders>
              <w:top w:val="single" w:sz="4" w:space="0" w:color="auto"/>
              <w:left w:val="nil"/>
              <w:bottom w:val="nil"/>
              <w:right w:val="nil"/>
            </w:tcBorders>
            <w:vAlign w:val="center"/>
          </w:tcPr>
          <w:p w14:paraId="01C96FC3" w14:textId="77777777" w:rsidR="000D4757" w:rsidRPr="007F3F6C" w:rsidRDefault="000D4757" w:rsidP="00566D69">
            <w:pPr>
              <w:spacing w:after="0" w:line="240" w:lineRule="auto"/>
              <w:rPr>
                <w:rFonts w:ascii="Times New Roman" w:hAnsi="Times New Roman" w:cs="Times New Roman"/>
              </w:rPr>
            </w:pPr>
            <w:r w:rsidRPr="00F05B3A">
              <w:rPr>
                <w:rFonts w:ascii="Times New Roman" w:hAnsi="Times New Roman" w:cs="Times New Roman"/>
              </w:rPr>
              <w:t>10466,7</w:t>
            </w:r>
          </w:p>
        </w:tc>
        <w:tc>
          <w:tcPr>
            <w:tcW w:w="518" w:type="pct"/>
            <w:tcBorders>
              <w:top w:val="single" w:sz="4" w:space="0" w:color="auto"/>
              <w:left w:val="nil"/>
              <w:bottom w:val="nil"/>
              <w:right w:val="nil"/>
            </w:tcBorders>
            <w:vAlign w:val="center"/>
          </w:tcPr>
          <w:p w14:paraId="27D143BD" w14:textId="77777777" w:rsidR="000D4757" w:rsidRPr="007F3F6C" w:rsidRDefault="000D4757" w:rsidP="00566D69">
            <w:pPr>
              <w:spacing w:after="0" w:line="240" w:lineRule="auto"/>
              <w:rPr>
                <w:rFonts w:ascii="Times New Roman" w:hAnsi="Times New Roman" w:cs="Times New Roman"/>
              </w:rPr>
            </w:pPr>
            <w:r w:rsidRPr="00F05B3A">
              <w:rPr>
                <w:rFonts w:ascii="Times New Roman" w:hAnsi="Times New Roman" w:cs="Times New Roman"/>
              </w:rPr>
              <w:t>10 739,2</w:t>
            </w:r>
          </w:p>
        </w:tc>
        <w:tc>
          <w:tcPr>
            <w:tcW w:w="503" w:type="pct"/>
            <w:tcBorders>
              <w:top w:val="single" w:sz="4" w:space="0" w:color="auto"/>
              <w:left w:val="nil"/>
              <w:bottom w:val="nil"/>
              <w:right w:val="nil"/>
            </w:tcBorders>
            <w:shd w:val="clear" w:color="auto" w:fill="auto"/>
            <w:vAlign w:val="center"/>
          </w:tcPr>
          <w:p w14:paraId="22207079" w14:textId="77777777" w:rsidR="000D4757" w:rsidRPr="007F3F6C" w:rsidRDefault="000D4757" w:rsidP="00566D69">
            <w:pPr>
              <w:spacing w:after="0" w:line="240" w:lineRule="auto"/>
              <w:rPr>
                <w:rFonts w:ascii="Times New Roman" w:hAnsi="Times New Roman" w:cs="Times New Roman"/>
                <w:color w:val="FF0000"/>
              </w:rPr>
            </w:pPr>
            <w:r w:rsidRPr="007F3F6C">
              <w:rPr>
                <w:rFonts w:ascii="Times New Roman" w:hAnsi="Times New Roman" w:cs="Times New Roman"/>
              </w:rPr>
              <w:t>303,1</w:t>
            </w:r>
          </w:p>
        </w:tc>
      </w:tr>
      <w:tr w:rsidR="000D4757" w:rsidRPr="007F3F6C" w14:paraId="035DCE03" w14:textId="77777777" w:rsidTr="00566D69">
        <w:trPr>
          <w:cantSplit/>
          <w:trHeight w:val="725"/>
          <w:jc w:val="center"/>
        </w:trPr>
        <w:tc>
          <w:tcPr>
            <w:tcW w:w="797" w:type="pct"/>
            <w:tcBorders>
              <w:top w:val="nil"/>
              <w:left w:val="nil"/>
              <w:bottom w:val="nil"/>
              <w:right w:val="nil"/>
            </w:tcBorders>
            <w:shd w:val="clear" w:color="auto" w:fill="auto"/>
            <w:noWrap/>
            <w:vAlign w:val="center"/>
            <w:hideMark/>
          </w:tcPr>
          <w:p w14:paraId="5886B471" w14:textId="77777777" w:rsidR="000D4757" w:rsidRPr="00240352" w:rsidRDefault="000D4757" w:rsidP="00566D69">
            <w:pPr>
              <w:spacing w:after="0" w:line="240" w:lineRule="auto"/>
              <w:rPr>
                <w:rFonts w:ascii="Times New Roman" w:eastAsia="Times New Roman" w:hAnsi="Times New Roman" w:cs="Times New Roman"/>
                <w:lang w:val="tr-TR" w:eastAsia="ru-RU"/>
              </w:rPr>
            </w:pPr>
            <w:r>
              <w:rPr>
                <w:rFonts w:ascii="Times New Roman" w:eastAsia="Times New Roman" w:hAnsi="Times New Roman" w:cs="Times New Roman"/>
                <w:lang w:val="tr-TR" w:eastAsia="ru-RU"/>
              </w:rPr>
              <w:t>ZSSF</w:t>
            </w:r>
          </w:p>
        </w:tc>
        <w:tc>
          <w:tcPr>
            <w:tcW w:w="518" w:type="pct"/>
            <w:tcBorders>
              <w:top w:val="nil"/>
              <w:left w:val="nil"/>
              <w:bottom w:val="nil"/>
              <w:right w:val="nil"/>
            </w:tcBorders>
            <w:shd w:val="clear" w:color="auto" w:fill="auto"/>
            <w:vAlign w:val="center"/>
            <w:hideMark/>
          </w:tcPr>
          <w:p w14:paraId="42C53608"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765,4</w:t>
            </w:r>
          </w:p>
        </w:tc>
        <w:tc>
          <w:tcPr>
            <w:tcW w:w="518" w:type="pct"/>
            <w:tcBorders>
              <w:top w:val="nil"/>
              <w:left w:val="nil"/>
              <w:bottom w:val="nil"/>
              <w:right w:val="nil"/>
            </w:tcBorders>
            <w:shd w:val="clear" w:color="auto" w:fill="auto"/>
            <w:vAlign w:val="center"/>
            <w:hideMark/>
          </w:tcPr>
          <w:p w14:paraId="22B6A8B9"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1062,2</w:t>
            </w:r>
          </w:p>
        </w:tc>
        <w:tc>
          <w:tcPr>
            <w:tcW w:w="592" w:type="pct"/>
            <w:tcBorders>
              <w:top w:val="nil"/>
              <w:left w:val="nil"/>
              <w:bottom w:val="nil"/>
              <w:right w:val="nil"/>
            </w:tcBorders>
            <w:shd w:val="clear" w:color="auto" w:fill="auto"/>
            <w:vAlign w:val="center"/>
            <w:hideMark/>
          </w:tcPr>
          <w:p w14:paraId="5473968D"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1210</w:t>
            </w:r>
          </w:p>
        </w:tc>
        <w:tc>
          <w:tcPr>
            <w:tcW w:w="518" w:type="pct"/>
            <w:tcBorders>
              <w:top w:val="nil"/>
              <w:left w:val="nil"/>
              <w:bottom w:val="nil"/>
              <w:right w:val="nil"/>
            </w:tcBorders>
            <w:shd w:val="clear" w:color="auto" w:fill="auto"/>
            <w:vAlign w:val="center"/>
            <w:hideMark/>
          </w:tcPr>
          <w:p w14:paraId="716374CA"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1856,8</w:t>
            </w:r>
          </w:p>
        </w:tc>
        <w:tc>
          <w:tcPr>
            <w:tcW w:w="518" w:type="pct"/>
            <w:tcBorders>
              <w:top w:val="nil"/>
              <w:left w:val="nil"/>
              <w:bottom w:val="nil"/>
              <w:right w:val="nil"/>
            </w:tcBorders>
            <w:shd w:val="clear" w:color="auto" w:fill="auto"/>
            <w:vAlign w:val="center"/>
          </w:tcPr>
          <w:p w14:paraId="0F8453DC"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1916,0</w:t>
            </w:r>
          </w:p>
        </w:tc>
        <w:tc>
          <w:tcPr>
            <w:tcW w:w="517" w:type="pct"/>
            <w:tcBorders>
              <w:top w:val="nil"/>
              <w:left w:val="nil"/>
              <w:bottom w:val="nil"/>
              <w:right w:val="nil"/>
            </w:tcBorders>
          </w:tcPr>
          <w:p w14:paraId="6291D6BE" w14:textId="77777777" w:rsidR="000D4757" w:rsidRPr="00F05B3A" w:rsidRDefault="000D4757" w:rsidP="00566D69">
            <w:pPr>
              <w:spacing w:after="0" w:line="240" w:lineRule="auto"/>
              <w:rPr>
                <w:rFonts w:ascii="Times New Roman" w:hAnsi="Times New Roman" w:cs="Times New Roman"/>
              </w:rPr>
            </w:pPr>
          </w:p>
          <w:p w14:paraId="0FE81D3B" w14:textId="77777777" w:rsidR="000D4757" w:rsidRPr="007F3F6C" w:rsidRDefault="000D4757" w:rsidP="00566D69">
            <w:pPr>
              <w:spacing w:after="0" w:line="240" w:lineRule="auto"/>
              <w:rPr>
                <w:rFonts w:ascii="Times New Roman" w:hAnsi="Times New Roman" w:cs="Times New Roman"/>
              </w:rPr>
            </w:pPr>
            <w:r w:rsidRPr="00F05B3A">
              <w:rPr>
                <w:rFonts w:ascii="Times New Roman" w:hAnsi="Times New Roman" w:cs="Times New Roman"/>
              </w:rPr>
              <w:t>2 328,4</w:t>
            </w:r>
          </w:p>
        </w:tc>
        <w:tc>
          <w:tcPr>
            <w:tcW w:w="518" w:type="pct"/>
            <w:tcBorders>
              <w:top w:val="nil"/>
              <w:left w:val="nil"/>
              <w:bottom w:val="nil"/>
              <w:right w:val="nil"/>
            </w:tcBorders>
          </w:tcPr>
          <w:p w14:paraId="56B60A9E" w14:textId="77777777" w:rsidR="000D4757" w:rsidRPr="00F05B3A" w:rsidRDefault="000D4757" w:rsidP="00566D69">
            <w:pPr>
              <w:spacing w:after="0" w:line="240" w:lineRule="auto"/>
              <w:rPr>
                <w:rFonts w:ascii="Times New Roman" w:hAnsi="Times New Roman" w:cs="Times New Roman"/>
              </w:rPr>
            </w:pPr>
          </w:p>
          <w:p w14:paraId="20C2335B" w14:textId="77777777" w:rsidR="000D4757" w:rsidRPr="007F3F6C" w:rsidRDefault="000D4757" w:rsidP="00566D69">
            <w:pPr>
              <w:spacing w:after="0" w:line="240" w:lineRule="auto"/>
              <w:rPr>
                <w:rFonts w:ascii="Times New Roman" w:hAnsi="Times New Roman" w:cs="Times New Roman"/>
              </w:rPr>
            </w:pPr>
            <w:r w:rsidRPr="00F05B3A">
              <w:rPr>
                <w:rFonts w:ascii="Times New Roman" w:hAnsi="Times New Roman" w:cs="Times New Roman"/>
              </w:rPr>
              <w:t>2 320,0</w:t>
            </w:r>
          </w:p>
        </w:tc>
        <w:tc>
          <w:tcPr>
            <w:tcW w:w="503" w:type="pct"/>
            <w:tcBorders>
              <w:top w:val="nil"/>
              <w:left w:val="nil"/>
              <w:bottom w:val="nil"/>
              <w:right w:val="nil"/>
            </w:tcBorders>
            <w:shd w:val="clear" w:color="auto" w:fill="auto"/>
            <w:vAlign w:val="center"/>
          </w:tcPr>
          <w:p w14:paraId="5538E95F" w14:textId="77777777" w:rsidR="000D4757" w:rsidRPr="007F3F6C" w:rsidRDefault="000D4757" w:rsidP="00566D69">
            <w:pPr>
              <w:spacing w:after="0" w:line="240" w:lineRule="auto"/>
              <w:rPr>
                <w:rFonts w:ascii="Times New Roman" w:hAnsi="Times New Roman" w:cs="Times New Roman"/>
                <w:color w:val="FF0000"/>
              </w:rPr>
            </w:pPr>
            <w:r w:rsidRPr="007F3F6C">
              <w:rPr>
                <w:rFonts w:ascii="Times New Roman" w:hAnsi="Times New Roman" w:cs="Times New Roman"/>
              </w:rPr>
              <w:t>276,9</w:t>
            </w:r>
          </w:p>
        </w:tc>
      </w:tr>
      <w:tr w:rsidR="000D4757" w:rsidRPr="007F3F6C" w14:paraId="4F73BA6F" w14:textId="77777777" w:rsidTr="00566D69">
        <w:trPr>
          <w:cantSplit/>
          <w:trHeight w:val="775"/>
          <w:jc w:val="center"/>
        </w:trPr>
        <w:tc>
          <w:tcPr>
            <w:tcW w:w="797" w:type="pct"/>
            <w:tcBorders>
              <w:top w:val="nil"/>
              <w:left w:val="nil"/>
              <w:bottom w:val="nil"/>
              <w:right w:val="nil"/>
            </w:tcBorders>
            <w:shd w:val="clear" w:color="auto" w:fill="auto"/>
            <w:noWrap/>
            <w:vAlign w:val="center"/>
            <w:hideMark/>
          </w:tcPr>
          <w:p w14:paraId="40B4FD2A" w14:textId="77777777" w:rsidR="000D4757" w:rsidRPr="00560C87" w:rsidRDefault="000D4757" w:rsidP="00566D69">
            <w:pPr>
              <w:spacing w:after="0" w:line="240" w:lineRule="auto"/>
              <w:rPr>
                <w:rFonts w:ascii="Times New Roman" w:eastAsia="Times New Roman" w:hAnsi="Times New Roman" w:cs="Times New Roman"/>
                <w:lang w:val="tr-TR" w:eastAsia="ru-RU"/>
              </w:rPr>
            </w:pPr>
            <w:r>
              <w:rPr>
                <w:rFonts w:ascii="Times New Roman" w:eastAsia="Times New Roman" w:hAnsi="Times New Roman" w:cs="Times New Roman"/>
                <w:lang w:val="tr-TR" w:eastAsia="ru-RU"/>
              </w:rPr>
              <w:t>Katkı payı fonları</w:t>
            </w:r>
          </w:p>
        </w:tc>
        <w:tc>
          <w:tcPr>
            <w:tcW w:w="518" w:type="pct"/>
            <w:tcBorders>
              <w:top w:val="nil"/>
              <w:left w:val="nil"/>
              <w:bottom w:val="nil"/>
              <w:right w:val="nil"/>
            </w:tcBorders>
            <w:shd w:val="clear" w:color="auto" w:fill="auto"/>
            <w:vAlign w:val="center"/>
            <w:hideMark/>
          </w:tcPr>
          <w:p w14:paraId="7A61174F"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260,8</w:t>
            </w:r>
          </w:p>
        </w:tc>
        <w:tc>
          <w:tcPr>
            <w:tcW w:w="518" w:type="pct"/>
            <w:tcBorders>
              <w:top w:val="nil"/>
              <w:left w:val="nil"/>
              <w:bottom w:val="nil"/>
              <w:right w:val="nil"/>
            </w:tcBorders>
            <w:shd w:val="clear" w:color="auto" w:fill="auto"/>
            <w:vAlign w:val="center"/>
            <w:hideMark/>
          </w:tcPr>
          <w:p w14:paraId="79C836D8"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311,2</w:t>
            </w:r>
          </w:p>
        </w:tc>
        <w:tc>
          <w:tcPr>
            <w:tcW w:w="592" w:type="pct"/>
            <w:tcBorders>
              <w:top w:val="nil"/>
              <w:left w:val="nil"/>
              <w:bottom w:val="nil"/>
              <w:right w:val="nil"/>
            </w:tcBorders>
            <w:shd w:val="clear" w:color="auto" w:fill="auto"/>
            <w:vAlign w:val="center"/>
            <w:hideMark/>
          </w:tcPr>
          <w:p w14:paraId="10ECF422"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370,4</w:t>
            </w:r>
          </w:p>
        </w:tc>
        <w:tc>
          <w:tcPr>
            <w:tcW w:w="518" w:type="pct"/>
            <w:tcBorders>
              <w:top w:val="nil"/>
              <w:left w:val="nil"/>
              <w:bottom w:val="nil"/>
              <w:right w:val="nil"/>
            </w:tcBorders>
            <w:shd w:val="clear" w:color="auto" w:fill="auto"/>
            <w:vAlign w:val="center"/>
            <w:hideMark/>
          </w:tcPr>
          <w:p w14:paraId="6D5E72F9" w14:textId="77777777" w:rsidR="000D4757" w:rsidRPr="007F3F6C" w:rsidRDefault="000D4757" w:rsidP="00566D69">
            <w:pPr>
              <w:tabs>
                <w:tab w:val="left" w:pos="9072"/>
              </w:tabs>
              <w:spacing w:after="0" w:line="240" w:lineRule="auto"/>
              <w:rPr>
                <w:rFonts w:ascii="Times New Roman" w:eastAsia="Times New Roman" w:hAnsi="Times New Roman" w:cs="Times New Roman"/>
                <w:lang w:eastAsia="ru-RU"/>
              </w:rPr>
            </w:pPr>
            <w:r w:rsidRPr="007F3F6C">
              <w:rPr>
                <w:rFonts w:ascii="Times New Roman" w:eastAsia="Times New Roman" w:hAnsi="Times New Roman" w:cs="Times New Roman"/>
                <w:lang w:eastAsia="ru-RU"/>
              </w:rPr>
              <w:t>1842,5</w:t>
            </w:r>
          </w:p>
        </w:tc>
        <w:tc>
          <w:tcPr>
            <w:tcW w:w="518" w:type="pct"/>
            <w:tcBorders>
              <w:top w:val="nil"/>
              <w:left w:val="nil"/>
              <w:bottom w:val="nil"/>
              <w:right w:val="nil"/>
            </w:tcBorders>
            <w:shd w:val="clear" w:color="auto" w:fill="auto"/>
            <w:vAlign w:val="center"/>
          </w:tcPr>
          <w:p w14:paraId="5B6DA441" w14:textId="77777777" w:rsidR="000D4757" w:rsidRPr="007F3F6C" w:rsidRDefault="000D4757" w:rsidP="00566D69">
            <w:pPr>
              <w:tabs>
                <w:tab w:val="left" w:pos="9072"/>
              </w:tabs>
              <w:spacing w:after="0" w:line="240" w:lineRule="auto"/>
              <w:rPr>
                <w:rFonts w:ascii="Times New Roman" w:eastAsia="Times New Roman" w:hAnsi="Times New Roman" w:cs="Times New Roman"/>
                <w:lang w:eastAsia="ru-RU"/>
              </w:rPr>
            </w:pPr>
            <w:r w:rsidRPr="007F3F6C">
              <w:rPr>
                <w:rFonts w:ascii="Times New Roman" w:eastAsia="Times New Roman" w:hAnsi="Times New Roman" w:cs="Times New Roman"/>
                <w:lang w:eastAsia="ru-RU"/>
              </w:rPr>
              <w:t>1916,0</w:t>
            </w:r>
          </w:p>
        </w:tc>
        <w:tc>
          <w:tcPr>
            <w:tcW w:w="517" w:type="pct"/>
            <w:tcBorders>
              <w:top w:val="nil"/>
              <w:left w:val="nil"/>
              <w:bottom w:val="nil"/>
              <w:right w:val="nil"/>
            </w:tcBorders>
            <w:vAlign w:val="center"/>
          </w:tcPr>
          <w:p w14:paraId="18433DBD" w14:textId="77777777" w:rsidR="000D4757" w:rsidRPr="00F05B3A" w:rsidRDefault="000D4757" w:rsidP="00566D69">
            <w:pPr>
              <w:spacing w:after="0" w:line="240" w:lineRule="auto"/>
              <w:rPr>
                <w:rFonts w:ascii="Times New Roman" w:hAnsi="Times New Roman" w:cs="Times New Roman"/>
              </w:rPr>
            </w:pPr>
            <w:r w:rsidRPr="00F05B3A">
              <w:rPr>
                <w:rFonts w:ascii="Times New Roman" w:hAnsi="Times New Roman" w:cs="Times New Roman"/>
              </w:rPr>
              <w:t>550,3</w:t>
            </w:r>
          </w:p>
        </w:tc>
        <w:tc>
          <w:tcPr>
            <w:tcW w:w="518" w:type="pct"/>
            <w:tcBorders>
              <w:top w:val="nil"/>
              <w:left w:val="nil"/>
              <w:bottom w:val="nil"/>
              <w:right w:val="nil"/>
            </w:tcBorders>
          </w:tcPr>
          <w:p w14:paraId="66A43341" w14:textId="77777777" w:rsidR="000D4757" w:rsidRPr="00F05B3A" w:rsidRDefault="000D4757" w:rsidP="00566D69">
            <w:pPr>
              <w:tabs>
                <w:tab w:val="left" w:pos="9072"/>
              </w:tabs>
              <w:spacing w:after="0" w:line="240" w:lineRule="auto"/>
              <w:rPr>
                <w:rFonts w:ascii="Times New Roman" w:hAnsi="Times New Roman" w:cs="Times New Roman"/>
              </w:rPr>
            </w:pPr>
          </w:p>
          <w:p w14:paraId="444F3C46" w14:textId="77777777" w:rsidR="000D4757" w:rsidRPr="00F05B3A" w:rsidRDefault="000D4757" w:rsidP="00566D69">
            <w:pPr>
              <w:tabs>
                <w:tab w:val="left" w:pos="9072"/>
              </w:tabs>
              <w:spacing w:after="0" w:line="240" w:lineRule="auto"/>
              <w:rPr>
                <w:rFonts w:ascii="Times New Roman" w:hAnsi="Times New Roman" w:cs="Times New Roman"/>
              </w:rPr>
            </w:pPr>
            <w:r w:rsidRPr="00F05B3A">
              <w:rPr>
                <w:rFonts w:ascii="Times New Roman" w:hAnsi="Times New Roman" w:cs="Times New Roman"/>
              </w:rPr>
              <w:t>551,7</w:t>
            </w:r>
          </w:p>
        </w:tc>
        <w:tc>
          <w:tcPr>
            <w:tcW w:w="503" w:type="pct"/>
            <w:tcBorders>
              <w:top w:val="nil"/>
              <w:left w:val="nil"/>
              <w:bottom w:val="nil"/>
              <w:right w:val="nil"/>
            </w:tcBorders>
            <w:shd w:val="clear" w:color="auto" w:fill="auto"/>
            <w:vAlign w:val="center"/>
          </w:tcPr>
          <w:p w14:paraId="2EC82658" w14:textId="77777777" w:rsidR="000D4757" w:rsidRPr="007F3F6C" w:rsidRDefault="000D4757" w:rsidP="00566D69">
            <w:pPr>
              <w:tabs>
                <w:tab w:val="left" w:pos="9072"/>
              </w:tabs>
              <w:spacing w:after="0" w:line="240" w:lineRule="auto"/>
              <w:rPr>
                <w:rFonts w:ascii="Times New Roman" w:eastAsia="Times New Roman" w:hAnsi="Times New Roman" w:cs="Times New Roman"/>
                <w:lang w:eastAsia="ru-RU"/>
              </w:rPr>
            </w:pPr>
            <w:r w:rsidRPr="007F3F6C">
              <w:rPr>
                <w:rFonts w:ascii="Times New Roman" w:eastAsia="Times New Roman" w:hAnsi="Times New Roman" w:cs="Times New Roman"/>
                <w:lang w:eastAsia="ru-RU"/>
              </w:rPr>
              <w:t>211,5</w:t>
            </w:r>
          </w:p>
        </w:tc>
      </w:tr>
      <w:tr w:rsidR="000D4757" w:rsidRPr="007F3F6C" w14:paraId="064E2E1A" w14:textId="77777777" w:rsidTr="00566D69">
        <w:trPr>
          <w:cantSplit/>
          <w:trHeight w:val="768"/>
          <w:jc w:val="center"/>
        </w:trPr>
        <w:tc>
          <w:tcPr>
            <w:tcW w:w="797" w:type="pct"/>
            <w:tcBorders>
              <w:top w:val="nil"/>
              <w:left w:val="nil"/>
              <w:bottom w:val="single" w:sz="4" w:space="0" w:color="auto"/>
              <w:right w:val="nil"/>
            </w:tcBorders>
            <w:shd w:val="clear" w:color="auto" w:fill="auto"/>
            <w:noWrap/>
            <w:vAlign w:val="center"/>
            <w:hideMark/>
          </w:tcPr>
          <w:p w14:paraId="25C42492" w14:textId="77777777" w:rsidR="000D4757" w:rsidRPr="007F3F6C" w:rsidRDefault="000D4757" w:rsidP="00566D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tr-TR" w:eastAsia="ru-RU"/>
              </w:rPr>
              <w:t>Özel fonlar</w:t>
            </w:r>
            <w:r w:rsidRPr="007F3F6C">
              <w:rPr>
                <w:rFonts w:ascii="Times New Roman" w:eastAsia="Times New Roman" w:hAnsi="Times New Roman" w:cs="Times New Roman"/>
                <w:lang w:eastAsia="ru-RU"/>
              </w:rPr>
              <w:t xml:space="preserve">  </w:t>
            </w:r>
          </w:p>
        </w:tc>
        <w:tc>
          <w:tcPr>
            <w:tcW w:w="518" w:type="pct"/>
            <w:tcBorders>
              <w:top w:val="nil"/>
              <w:left w:val="nil"/>
              <w:bottom w:val="single" w:sz="4" w:space="0" w:color="auto"/>
              <w:right w:val="nil"/>
            </w:tcBorders>
            <w:shd w:val="clear" w:color="auto" w:fill="auto"/>
            <w:vAlign w:val="center"/>
            <w:hideMark/>
          </w:tcPr>
          <w:p w14:paraId="70BBAC42"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73,0</w:t>
            </w:r>
          </w:p>
        </w:tc>
        <w:tc>
          <w:tcPr>
            <w:tcW w:w="518" w:type="pct"/>
            <w:tcBorders>
              <w:top w:val="nil"/>
              <w:left w:val="nil"/>
              <w:bottom w:val="single" w:sz="4" w:space="0" w:color="auto"/>
              <w:right w:val="nil"/>
            </w:tcBorders>
            <w:shd w:val="clear" w:color="auto" w:fill="auto"/>
            <w:vAlign w:val="center"/>
            <w:hideMark/>
          </w:tcPr>
          <w:p w14:paraId="6ACC5B28"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123,3</w:t>
            </w:r>
          </w:p>
        </w:tc>
        <w:tc>
          <w:tcPr>
            <w:tcW w:w="592" w:type="pct"/>
            <w:tcBorders>
              <w:top w:val="nil"/>
              <w:left w:val="nil"/>
              <w:bottom w:val="single" w:sz="4" w:space="0" w:color="auto"/>
              <w:right w:val="nil"/>
            </w:tcBorders>
            <w:shd w:val="clear" w:color="auto" w:fill="auto"/>
            <w:vAlign w:val="center"/>
            <w:hideMark/>
          </w:tcPr>
          <w:p w14:paraId="3CD1FF0C"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168,0</w:t>
            </w:r>
          </w:p>
        </w:tc>
        <w:tc>
          <w:tcPr>
            <w:tcW w:w="518" w:type="pct"/>
            <w:tcBorders>
              <w:top w:val="nil"/>
              <w:left w:val="nil"/>
              <w:bottom w:val="single" w:sz="4" w:space="0" w:color="auto"/>
              <w:right w:val="nil"/>
            </w:tcBorders>
            <w:shd w:val="clear" w:color="auto" w:fill="auto"/>
            <w:vAlign w:val="center"/>
            <w:hideMark/>
          </w:tcPr>
          <w:p w14:paraId="5F325064" w14:textId="77777777" w:rsidR="000D4757" w:rsidRPr="007F3F6C" w:rsidRDefault="000D4757" w:rsidP="00566D69">
            <w:pPr>
              <w:tabs>
                <w:tab w:val="left" w:pos="9072"/>
              </w:tabs>
              <w:spacing w:after="0" w:line="240" w:lineRule="auto"/>
              <w:rPr>
                <w:rFonts w:ascii="Times New Roman" w:eastAsia="Times New Roman" w:hAnsi="Times New Roman" w:cs="Times New Roman"/>
                <w:lang w:eastAsia="ru-RU"/>
              </w:rPr>
            </w:pPr>
            <w:r w:rsidRPr="007F3F6C">
              <w:rPr>
                <w:rFonts w:ascii="Times New Roman" w:eastAsia="Times New Roman" w:hAnsi="Times New Roman" w:cs="Times New Roman"/>
                <w:lang w:eastAsia="ru-RU"/>
              </w:rPr>
              <w:t>434,9</w:t>
            </w:r>
          </w:p>
        </w:tc>
        <w:tc>
          <w:tcPr>
            <w:tcW w:w="518" w:type="pct"/>
            <w:tcBorders>
              <w:top w:val="nil"/>
              <w:left w:val="nil"/>
              <w:bottom w:val="single" w:sz="4" w:space="0" w:color="auto"/>
              <w:right w:val="nil"/>
            </w:tcBorders>
            <w:shd w:val="clear" w:color="auto" w:fill="auto"/>
            <w:vAlign w:val="center"/>
          </w:tcPr>
          <w:p w14:paraId="2842EEC9" w14:textId="77777777" w:rsidR="000D4757" w:rsidRPr="007F3F6C" w:rsidRDefault="000D4757" w:rsidP="00566D69">
            <w:pPr>
              <w:tabs>
                <w:tab w:val="left" w:pos="9072"/>
              </w:tabs>
              <w:spacing w:after="0" w:line="240" w:lineRule="auto"/>
              <w:rPr>
                <w:rFonts w:ascii="Times New Roman" w:eastAsia="Times New Roman" w:hAnsi="Times New Roman" w:cs="Times New Roman"/>
                <w:lang w:eastAsia="ru-RU"/>
              </w:rPr>
            </w:pPr>
            <w:r w:rsidRPr="007F3F6C">
              <w:rPr>
                <w:rFonts w:ascii="Times New Roman" w:eastAsia="Times New Roman" w:hAnsi="Times New Roman" w:cs="Times New Roman"/>
                <w:lang w:eastAsia="ru-RU"/>
              </w:rPr>
              <w:t>480,6</w:t>
            </w:r>
          </w:p>
        </w:tc>
        <w:tc>
          <w:tcPr>
            <w:tcW w:w="517" w:type="pct"/>
            <w:tcBorders>
              <w:top w:val="nil"/>
              <w:left w:val="nil"/>
              <w:bottom w:val="single" w:sz="4" w:space="0" w:color="auto"/>
              <w:right w:val="nil"/>
            </w:tcBorders>
          </w:tcPr>
          <w:p w14:paraId="2ACF626C" w14:textId="77777777" w:rsidR="000D4757" w:rsidRDefault="000D4757" w:rsidP="00566D69">
            <w:pPr>
              <w:spacing w:after="0" w:line="240" w:lineRule="auto"/>
              <w:rPr>
                <w:rFonts w:ascii="Times New Roman" w:hAnsi="Times New Roman" w:cs="Times New Roman"/>
                <w:lang w:val="tr-TR"/>
              </w:rPr>
            </w:pPr>
          </w:p>
          <w:p w14:paraId="70FF950F" w14:textId="77777777" w:rsidR="000D4757" w:rsidRPr="00F05B3A" w:rsidRDefault="000D4757" w:rsidP="00566D69">
            <w:pPr>
              <w:spacing w:after="0" w:line="240" w:lineRule="auto"/>
              <w:rPr>
                <w:rFonts w:ascii="Times New Roman" w:hAnsi="Times New Roman" w:cs="Times New Roman"/>
              </w:rPr>
            </w:pPr>
            <w:r w:rsidRPr="00F05B3A">
              <w:rPr>
                <w:rFonts w:ascii="Times New Roman" w:hAnsi="Times New Roman" w:cs="Times New Roman"/>
              </w:rPr>
              <w:t>873,1</w:t>
            </w:r>
          </w:p>
        </w:tc>
        <w:tc>
          <w:tcPr>
            <w:tcW w:w="518" w:type="pct"/>
            <w:tcBorders>
              <w:top w:val="nil"/>
              <w:left w:val="nil"/>
              <w:bottom w:val="single" w:sz="4" w:space="0" w:color="auto"/>
              <w:right w:val="nil"/>
            </w:tcBorders>
          </w:tcPr>
          <w:p w14:paraId="180659C3" w14:textId="77777777" w:rsidR="000D4757" w:rsidRDefault="000D4757" w:rsidP="00566D69">
            <w:pPr>
              <w:spacing w:after="0" w:line="240" w:lineRule="auto"/>
              <w:rPr>
                <w:rFonts w:ascii="Times New Roman" w:hAnsi="Times New Roman" w:cs="Times New Roman"/>
                <w:lang w:val="tr-TR"/>
              </w:rPr>
            </w:pPr>
          </w:p>
          <w:p w14:paraId="46AE4450" w14:textId="77777777" w:rsidR="000D4757" w:rsidRPr="00F05B3A" w:rsidRDefault="000D4757" w:rsidP="00566D69">
            <w:pPr>
              <w:spacing w:after="0" w:line="240" w:lineRule="auto"/>
              <w:rPr>
                <w:rFonts w:ascii="Times New Roman" w:hAnsi="Times New Roman" w:cs="Times New Roman"/>
              </w:rPr>
            </w:pPr>
            <w:r w:rsidRPr="00F05B3A">
              <w:rPr>
                <w:rFonts w:ascii="Times New Roman" w:hAnsi="Times New Roman" w:cs="Times New Roman"/>
              </w:rPr>
              <w:t>543,6</w:t>
            </w:r>
          </w:p>
        </w:tc>
        <w:tc>
          <w:tcPr>
            <w:tcW w:w="503" w:type="pct"/>
            <w:tcBorders>
              <w:top w:val="nil"/>
              <w:left w:val="nil"/>
              <w:bottom w:val="single" w:sz="4" w:space="0" w:color="auto"/>
              <w:right w:val="nil"/>
            </w:tcBorders>
            <w:shd w:val="clear" w:color="auto" w:fill="auto"/>
            <w:vAlign w:val="center"/>
          </w:tcPr>
          <w:p w14:paraId="267F8CED" w14:textId="77777777" w:rsidR="000D4757" w:rsidRPr="007F3F6C" w:rsidRDefault="000D4757" w:rsidP="00566D69">
            <w:pPr>
              <w:tabs>
                <w:tab w:val="left" w:pos="9072"/>
              </w:tabs>
              <w:spacing w:after="0" w:line="240" w:lineRule="auto"/>
              <w:rPr>
                <w:rFonts w:ascii="Times New Roman" w:eastAsia="Times New Roman" w:hAnsi="Times New Roman" w:cs="Times New Roman"/>
                <w:lang w:eastAsia="ru-RU"/>
              </w:rPr>
            </w:pPr>
            <w:r w:rsidRPr="007F3F6C">
              <w:rPr>
                <w:rFonts w:ascii="Times New Roman" w:eastAsia="Times New Roman" w:hAnsi="Times New Roman" w:cs="Times New Roman"/>
                <w:lang w:eastAsia="ru-RU"/>
              </w:rPr>
              <w:t>744,7</w:t>
            </w:r>
          </w:p>
        </w:tc>
      </w:tr>
      <w:tr w:rsidR="000D4757" w:rsidRPr="007F3F6C" w14:paraId="48170CF6" w14:textId="77777777" w:rsidTr="00566D69">
        <w:trPr>
          <w:cantSplit/>
          <w:trHeight w:val="597"/>
          <w:jc w:val="center"/>
        </w:trPr>
        <w:tc>
          <w:tcPr>
            <w:tcW w:w="797" w:type="pct"/>
            <w:tcBorders>
              <w:top w:val="single" w:sz="4" w:space="0" w:color="auto"/>
              <w:left w:val="nil"/>
              <w:bottom w:val="single" w:sz="4" w:space="0" w:color="auto"/>
              <w:right w:val="nil"/>
            </w:tcBorders>
            <w:shd w:val="clear" w:color="auto" w:fill="auto"/>
            <w:noWrap/>
            <w:vAlign w:val="center"/>
          </w:tcPr>
          <w:p w14:paraId="004B524C" w14:textId="77777777" w:rsidR="000D4757" w:rsidRPr="00240352" w:rsidRDefault="000D4757" w:rsidP="00566D69">
            <w:pPr>
              <w:spacing w:after="0" w:line="240" w:lineRule="auto"/>
              <w:rPr>
                <w:rFonts w:ascii="Times New Roman" w:eastAsia="Times New Roman" w:hAnsi="Times New Roman" w:cs="Times New Roman"/>
                <w:b/>
                <w:lang w:val="tr-TR" w:eastAsia="ru-RU"/>
              </w:rPr>
            </w:pPr>
            <w:r>
              <w:rPr>
                <w:rFonts w:ascii="Times New Roman" w:eastAsia="Times New Roman" w:hAnsi="Times New Roman" w:cs="Times New Roman"/>
                <w:b/>
                <w:lang w:val="tr-TR" w:eastAsia="ru-RU"/>
              </w:rPr>
              <w:t>Toplam</w:t>
            </w:r>
          </w:p>
        </w:tc>
        <w:tc>
          <w:tcPr>
            <w:tcW w:w="518" w:type="pct"/>
            <w:tcBorders>
              <w:top w:val="single" w:sz="4" w:space="0" w:color="auto"/>
              <w:left w:val="nil"/>
              <w:bottom w:val="single" w:sz="4" w:space="0" w:color="auto"/>
              <w:right w:val="nil"/>
            </w:tcBorders>
            <w:shd w:val="clear" w:color="auto" w:fill="auto"/>
            <w:vAlign w:val="center"/>
          </w:tcPr>
          <w:p w14:paraId="64A0DF96"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5107,5</w:t>
            </w:r>
          </w:p>
        </w:tc>
        <w:tc>
          <w:tcPr>
            <w:tcW w:w="518" w:type="pct"/>
            <w:tcBorders>
              <w:top w:val="single" w:sz="4" w:space="0" w:color="auto"/>
              <w:left w:val="nil"/>
              <w:bottom w:val="single" w:sz="4" w:space="0" w:color="auto"/>
              <w:right w:val="nil"/>
            </w:tcBorders>
            <w:shd w:val="clear" w:color="auto" w:fill="auto"/>
            <w:vAlign w:val="center"/>
          </w:tcPr>
          <w:p w14:paraId="0AAE5D41"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7553,4</w:t>
            </w:r>
          </w:p>
        </w:tc>
        <w:tc>
          <w:tcPr>
            <w:tcW w:w="592" w:type="pct"/>
            <w:tcBorders>
              <w:top w:val="single" w:sz="4" w:space="0" w:color="auto"/>
              <w:left w:val="nil"/>
              <w:bottom w:val="single" w:sz="4" w:space="0" w:color="auto"/>
              <w:right w:val="nil"/>
            </w:tcBorders>
            <w:shd w:val="clear" w:color="auto" w:fill="auto"/>
            <w:vAlign w:val="center"/>
          </w:tcPr>
          <w:p w14:paraId="5E3C4DB8"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9668,4</w:t>
            </w:r>
          </w:p>
        </w:tc>
        <w:tc>
          <w:tcPr>
            <w:tcW w:w="518" w:type="pct"/>
            <w:tcBorders>
              <w:top w:val="single" w:sz="4" w:space="0" w:color="auto"/>
              <w:left w:val="nil"/>
              <w:bottom w:val="single" w:sz="4" w:space="0" w:color="auto"/>
              <w:right w:val="nil"/>
            </w:tcBorders>
            <w:shd w:val="clear" w:color="auto" w:fill="auto"/>
            <w:vAlign w:val="center"/>
          </w:tcPr>
          <w:p w14:paraId="4A7E7425" w14:textId="77777777" w:rsidR="000D4757" w:rsidRPr="007F3F6C" w:rsidRDefault="000D4757" w:rsidP="00566D69">
            <w:pPr>
              <w:tabs>
                <w:tab w:val="left" w:pos="9072"/>
              </w:tabs>
              <w:spacing w:after="0" w:line="240" w:lineRule="auto"/>
              <w:rPr>
                <w:rFonts w:ascii="Times New Roman" w:eastAsia="Times New Roman" w:hAnsi="Times New Roman" w:cs="Times New Roman"/>
                <w:lang w:eastAsia="ru-RU"/>
              </w:rPr>
            </w:pPr>
            <w:r w:rsidRPr="007F3F6C">
              <w:rPr>
                <w:rFonts w:ascii="Times New Roman" w:hAnsi="Times New Roman" w:cs="Times New Roman"/>
              </w:rPr>
              <w:t>10875,8</w:t>
            </w:r>
          </w:p>
        </w:tc>
        <w:tc>
          <w:tcPr>
            <w:tcW w:w="518" w:type="pct"/>
            <w:tcBorders>
              <w:top w:val="single" w:sz="4" w:space="0" w:color="auto"/>
              <w:left w:val="nil"/>
              <w:bottom w:val="single" w:sz="4" w:space="0" w:color="auto"/>
              <w:right w:val="nil"/>
            </w:tcBorders>
            <w:shd w:val="clear" w:color="auto" w:fill="auto"/>
            <w:vAlign w:val="center"/>
          </w:tcPr>
          <w:p w14:paraId="703A8349" w14:textId="77777777" w:rsidR="000D4757" w:rsidRPr="007F3F6C" w:rsidRDefault="000D4757" w:rsidP="00566D69">
            <w:pPr>
              <w:tabs>
                <w:tab w:val="left" w:pos="9072"/>
              </w:tabs>
              <w:spacing w:after="0" w:line="240" w:lineRule="auto"/>
              <w:ind w:hanging="107"/>
              <w:rPr>
                <w:rFonts w:ascii="Times New Roman" w:eastAsia="Times New Roman" w:hAnsi="Times New Roman" w:cs="Times New Roman"/>
                <w:lang w:eastAsia="ru-RU"/>
              </w:rPr>
            </w:pPr>
            <w:r w:rsidRPr="007F3F6C">
              <w:rPr>
                <w:rFonts w:ascii="Times New Roman" w:hAnsi="Times New Roman" w:cs="Times New Roman"/>
              </w:rPr>
              <w:t>12326,5</w:t>
            </w:r>
          </w:p>
        </w:tc>
        <w:tc>
          <w:tcPr>
            <w:tcW w:w="517" w:type="pct"/>
            <w:tcBorders>
              <w:top w:val="single" w:sz="4" w:space="0" w:color="auto"/>
              <w:left w:val="nil"/>
              <w:bottom w:val="single" w:sz="4" w:space="0" w:color="auto"/>
              <w:right w:val="nil"/>
            </w:tcBorders>
            <w:vAlign w:val="center"/>
          </w:tcPr>
          <w:p w14:paraId="0FCB6B2D"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14218,5</w:t>
            </w:r>
          </w:p>
        </w:tc>
        <w:tc>
          <w:tcPr>
            <w:tcW w:w="518" w:type="pct"/>
            <w:tcBorders>
              <w:top w:val="single" w:sz="4" w:space="0" w:color="auto"/>
              <w:left w:val="nil"/>
              <w:bottom w:val="single" w:sz="4" w:space="0" w:color="auto"/>
              <w:right w:val="nil"/>
            </w:tcBorders>
            <w:vAlign w:val="center"/>
          </w:tcPr>
          <w:p w14:paraId="09DB6728" w14:textId="77777777" w:rsidR="000D4757" w:rsidRPr="007F3F6C" w:rsidRDefault="000D4757" w:rsidP="00566D69">
            <w:pPr>
              <w:spacing w:after="0" w:line="240" w:lineRule="auto"/>
              <w:rPr>
                <w:rFonts w:ascii="Times New Roman" w:hAnsi="Times New Roman" w:cs="Times New Roman"/>
              </w:rPr>
            </w:pPr>
            <w:r w:rsidRPr="007F3F6C">
              <w:rPr>
                <w:rFonts w:ascii="Times New Roman" w:hAnsi="Times New Roman" w:cs="Times New Roman"/>
              </w:rPr>
              <w:t>14154,5</w:t>
            </w:r>
          </w:p>
        </w:tc>
        <w:tc>
          <w:tcPr>
            <w:tcW w:w="503" w:type="pct"/>
            <w:tcBorders>
              <w:top w:val="single" w:sz="4" w:space="0" w:color="auto"/>
              <w:left w:val="nil"/>
              <w:bottom w:val="single" w:sz="4" w:space="0" w:color="auto"/>
              <w:right w:val="nil"/>
            </w:tcBorders>
            <w:shd w:val="clear" w:color="auto" w:fill="auto"/>
            <w:vAlign w:val="center"/>
          </w:tcPr>
          <w:p w14:paraId="411119C9" w14:textId="77777777" w:rsidR="000D4757" w:rsidRPr="007F3F6C" w:rsidRDefault="000D4757" w:rsidP="00566D69">
            <w:pPr>
              <w:tabs>
                <w:tab w:val="left" w:pos="9072"/>
              </w:tabs>
              <w:spacing w:after="0" w:line="240" w:lineRule="auto"/>
              <w:rPr>
                <w:rFonts w:ascii="Times New Roman" w:eastAsia="Times New Roman" w:hAnsi="Times New Roman" w:cs="Times New Roman"/>
                <w:color w:val="C00000"/>
                <w:lang w:eastAsia="ru-RU"/>
              </w:rPr>
            </w:pPr>
            <w:r w:rsidRPr="007F3F6C">
              <w:rPr>
                <w:rFonts w:ascii="Times New Roman" w:hAnsi="Times New Roman" w:cs="Times New Roman"/>
              </w:rPr>
              <w:t>277,1</w:t>
            </w:r>
          </w:p>
        </w:tc>
      </w:tr>
    </w:tbl>
    <w:p w14:paraId="67EE7685" w14:textId="200308B5" w:rsidR="000D4757" w:rsidRPr="00645493" w:rsidRDefault="000D4757" w:rsidP="00526B4F">
      <w:pPr>
        <w:spacing w:after="0" w:line="240" w:lineRule="auto"/>
        <w:jc w:val="both"/>
        <w:rPr>
          <w:rFonts w:ascii="Times New Roman" w:eastAsia="Times New Roman" w:hAnsi="Times New Roman" w:cs="Times New Roman"/>
          <w:i/>
          <w:color w:val="000000" w:themeColor="text1"/>
          <w:shd w:val="clear" w:color="auto" w:fill="FFFFFF"/>
          <w:lang w:val="tr-TR" w:eastAsia="ru-RU"/>
        </w:rPr>
      </w:pPr>
      <w:r w:rsidRPr="002A77F4">
        <w:rPr>
          <w:rFonts w:ascii="Times New Roman" w:eastAsia="Times New Roman" w:hAnsi="Times New Roman" w:cs="Times New Roman"/>
          <w:b/>
          <w:i/>
          <w:color w:val="000000" w:themeColor="text1"/>
          <w:shd w:val="clear" w:color="auto" w:fill="FFFFFF"/>
          <w:lang w:val="tr-TR" w:eastAsia="ru-RU"/>
        </w:rPr>
        <w:t>Kaynak:</w:t>
      </w:r>
      <w:r w:rsidRPr="002A77F4">
        <w:rPr>
          <w:rFonts w:ascii="Times New Roman" w:eastAsia="Times New Roman" w:hAnsi="Times New Roman" w:cs="Times New Roman"/>
          <w:i/>
          <w:color w:val="000000" w:themeColor="text1"/>
          <w:shd w:val="clear" w:color="auto" w:fill="FFFFFF"/>
          <w:lang w:val="tr-TR" w:eastAsia="ru-RU"/>
        </w:rPr>
        <w:t xml:space="preserve"> Kırgız Cumhuriyeti ZSSF 2009-2019 verilerine göre hesaplanmıştır</w:t>
      </w:r>
      <w:r w:rsidR="00645493">
        <w:rPr>
          <w:rFonts w:ascii="Times New Roman" w:eastAsia="Times New Roman" w:hAnsi="Times New Roman" w:cs="Times New Roman"/>
          <w:i/>
          <w:color w:val="000000" w:themeColor="text1"/>
          <w:shd w:val="clear" w:color="auto" w:fill="FFFFFF"/>
          <w:lang w:val="tr-TR" w:eastAsia="ru-RU"/>
        </w:rPr>
        <w:t xml:space="preserve">. </w:t>
      </w:r>
      <w:r w:rsidR="00645493" w:rsidRPr="00645493">
        <w:rPr>
          <w:rFonts w:ascii="Times New Roman" w:eastAsia="Times New Roman" w:hAnsi="Times New Roman" w:cs="Times New Roman"/>
          <w:i/>
          <w:color w:val="000000" w:themeColor="text1"/>
          <w:shd w:val="clear" w:color="auto" w:fill="FFFFFF"/>
          <w:lang w:val="tr-TR" w:eastAsia="ru-RU"/>
        </w:rPr>
        <w:t>http://foms.kg/page/reports</w:t>
      </w:r>
    </w:p>
    <w:p w14:paraId="2A454137" w14:textId="440A586C" w:rsidR="000D4757" w:rsidRPr="007D507F" w:rsidRDefault="006233C2" w:rsidP="00526B4F">
      <w:pPr>
        <w:shd w:val="clear" w:color="auto" w:fill="FFFFFF"/>
        <w:spacing w:before="120"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t>Uygulamada kullanılan metodolojiye dikkatli bir bakış, gerçekte devlet desteği olmadığını, ancak hastalar tarafından birbirlerine destek olduğunu gösterir - birinin maliyeti diğer</w:t>
      </w:r>
      <w:r w:rsidR="00517682" w:rsidRPr="007D507F">
        <w:rPr>
          <w:rFonts w:ascii="Times New Roman" w:eastAsia="Times New Roman" w:hAnsi="Times New Roman" w:cs="Times New Roman"/>
          <w:color w:val="000000" w:themeColor="text1"/>
          <w:sz w:val="24"/>
          <w:szCs w:val="24"/>
          <w:shd w:val="clear" w:color="auto" w:fill="FFFFFF"/>
          <w:lang w:val="tr-TR" w:eastAsia="ru-RU"/>
        </w:rPr>
        <w:t xml:space="preserve"> hasta tarafından karşılanır. </w:t>
      </w:r>
      <w:r w:rsidR="00517682" w:rsidRPr="007D507F">
        <w:rPr>
          <w:rFonts w:ascii="Times New Roman" w:eastAsia="Times New Roman" w:hAnsi="Times New Roman" w:cs="Times New Roman"/>
          <w:sz w:val="24"/>
          <w:szCs w:val="24"/>
          <w:shd w:val="clear" w:color="auto" w:fill="FFFFFF"/>
          <w:lang w:val="tr-TR" w:eastAsia="ru-RU"/>
        </w:rPr>
        <w:t>Burada</w:t>
      </w:r>
      <w:r w:rsidR="00B21894"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color w:val="000000" w:themeColor="text1"/>
          <w:sz w:val="24"/>
          <w:szCs w:val="24"/>
          <w:shd w:val="clear" w:color="auto" w:fill="FFFFFF"/>
          <w:lang w:val="tr-TR" w:eastAsia="ru-RU"/>
        </w:rPr>
        <w:t xml:space="preserve">tıbbi hizmetlerin maliyetinin bir kısmını hastanın ödemesi daha doğru olacaktır. Katkı payı fonları, Kırgız Cumhuriyeti Tek </w:t>
      </w:r>
      <w:r w:rsidRPr="007D507F">
        <w:rPr>
          <w:rFonts w:ascii="Times New Roman" w:eastAsia="Times New Roman" w:hAnsi="Times New Roman" w:cs="Times New Roman"/>
          <w:sz w:val="24"/>
          <w:szCs w:val="24"/>
          <w:shd w:val="clear" w:color="auto" w:fill="FFFFFF"/>
          <w:lang w:val="tr-TR" w:eastAsia="ru-RU"/>
        </w:rPr>
        <w:t>Öde</w:t>
      </w:r>
      <w:r w:rsidR="00151839" w:rsidRPr="007D507F">
        <w:rPr>
          <w:rFonts w:ascii="Times New Roman" w:eastAsia="Times New Roman" w:hAnsi="Times New Roman" w:cs="Times New Roman"/>
          <w:sz w:val="24"/>
          <w:szCs w:val="24"/>
          <w:shd w:val="clear" w:color="auto" w:fill="FFFFFF"/>
          <w:lang w:val="tr-TR" w:eastAsia="ru-RU"/>
        </w:rPr>
        <w:t>me</w:t>
      </w:r>
      <w:r w:rsidRPr="007D507F">
        <w:rPr>
          <w:rFonts w:ascii="Times New Roman" w:eastAsia="Times New Roman" w:hAnsi="Times New Roman" w:cs="Times New Roman"/>
          <w:color w:val="000000" w:themeColor="text1"/>
          <w:sz w:val="24"/>
          <w:szCs w:val="24"/>
          <w:shd w:val="clear" w:color="auto" w:fill="FFFFFF"/>
          <w:lang w:val="tr-TR" w:eastAsia="ru-RU"/>
        </w:rPr>
        <w:t xml:space="preserve"> Sisteminin konsolide bütçesi için bir finansman kaynağıdır ve bu fonda toplanır. Hastanelerin verdiği raporlara göre son bir yılda tedavi edilen vaka sayısı dikkate alınmıştır.</w:t>
      </w:r>
    </w:p>
    <w:p w14:paraId="230D975A" w14:textId="75ABCD0A" w:rsidR="006233C2" w:rsidRPr="007D507F" w:rsidRDefault="006233C2" w:rsidP="007D507F">
      <w:pPr>
        <w:shd w:val="clear" w:color="auto" w:fill="FFFFFF"/>
        <w:spacing w:after="0" w:line="240" w:lineRule="auto"/>
        <w:ind w:firstLine="567"/>
        <w:jc w:val="both"/>
        <w:rPr>
          <w:rFonts w:ascii="Times New Roman" w:eastAsia="Times New Roman" w:hAnsi="Times New Roman" w:cs="Times New Roman"/>
          <w:color w:val="000000" w:themeColor="text1"/>
          <w:sz w:val="24"/>
          <w:szCs w:val="24"/>
          <w:shd w:val="clear" w:color="auto" w:fill="FFFFFF"/>
          <w:lang w:val="tr-TR" w:eastAsia="ru-RU"/>
        </w:rPr>
      </w:pPr>
      <w:r w:rsidRPr="007D507F">
        <w:rPr>
          <w:rFonts w:ascii="Times New Roman" w:eastAsia="Times New Roman" w:hAnsi="Times New Roman" w:cs="Times New Roman"/>
          <w:color w:val="000000" w:themeColor="text1"/>
          <w:sz w:val="24"/>
          <w:szCs w:val="24"/>
          <w:shd w:val="clear" w:color="auto" w:fill="FFFFFF"/>
          <w:lang w:val="tr-TR" w:eastAsia="ru-RU"/>
        </w:rPr>
        <w:t>Bu gösterge, katkı payı fonlarının hastanelere tahsis edilmesinde bir kriter görevi görür ve her hastane kendi payını alır. Tablo</w:t>
      </w:r>
      <w:r w:rsidR="00472842" w:rsidRPr="007D507F">
        <w:rPr>
          <w:rFonts w:ascii="Times New Roman" w:eastAsia="Times New Roman" w:hAnsi="Times New Roman" w:cs="Times New Roman"/>
          <w:color w:val="000000" w:themeColor="text1"/>
          <w:sz w:val="24"/>
          <w:szCs w:val="24"/>
          <w:shd w:val="clear" w:color="auto" w:fill="FFFFFF"/>
          <w:lang w:val="tr-TR" w:eastAsia="ru-RU"/>
        </w:rPr>
        <w:t xml:space="preserve"> </w:t>
      </w:r>
      <w:r w:rsidR="00604B06" w:rsidRPr="007D507F">
        <w:rPr>
          <w:rFonts w:ascii="Times New Roman" w:eastAsia="Times New Roman" w:hAnsi="Times New Roman" w:cs="Times New Roman"/>
          <w:sz w:val="24"/>
          <w:szCs w:val="24"/>
          <w:shd w:val="clear" w:color="auto" w:fill="FFFFFF"/>
          <w:lang w:val="tr-TR" w:eastAsia="ru-RU"/>
        </w:rPr>
        <w:t>5</w:t>
      </w:r>
      <w:r w:rsidR="00604B06" w:rsidRPr="007D507F">
        <w:rPr>
          <w:rFonts w:ascii="Times New Roman" w:eastAsia="Times New Roman" w:hAnsi="Times New Roman" w:cs="Times New Roman"/>
          <w:color w:val="000000" w:themeColor="text1"/>
          <w:sz w:val="24"/>
          <w:szCs w:val="24"/>
          <w:shd w:val="clear" w:color="auto" w:fill="FFFFFF"/>
          <w:lang w:val="tr-TR" w:eastAsia="ru-RU"/>
        </w:rPr>
        <w:t>’e</w:t>
      </w:r>
      <w:r w:rsidR="00472842" w:rsidRPr="007D507F">
        <w:rPr>
          <w:rFonts w:ascii="Times New Roman" w:eastAsia="Times New Roman" w:hAnsi="Times New Roman" w:cs="Times New Roman"/>
          <w:color w:val="000000" w:themeColor="text1"/>
          <w:sz w:val="24"/>
          <w:szCs w:val="24"/>
          <w:shd w:val="clear" w:color="auto" w:fill="FFFFFF"/>
          <w:lang w:val="tr-TR" w:eastAsia="ru-RU"/>
        </w:rPr>
        <w:t xml:space="preserve"> </w:t>
      </w:r>
      <w:r w:rsidR="00472842" w:rsidRPr="007D507F">
        <w:rPr>
          <w:rFonts w:ascii="Times New Roman" w:eastAsia="Times New Roman" w:hAnsi="Times New Roman" w:cs="Times New Roman"/>
          <w:sz w:val="24"/>
          <w:szCs w:val="24"/>
          <w:shd w:val="clear" w:color="auto" w:fill="FFFFFF"/>
          <w:lang w:val="tr-TR" w:eastAsia="ru-RU"/>
        </w:rPr>
        <w:t xml:space="preserve">göre </w:t>
      </w:r>
      <w:r w:rsidRPr="007D507F">
        <w:rPr>
          <w:rFonts w:ascii="Times New Roman" w:eastAsia="Times New Roman" w:hAnsi="Times New Roman" w:cs="Times New Roman"/>
          <w:sz w:val="24"/>
          <w:szCs w:val="24"/>
          <w:shd w:val="clear" w:color="auto" w:fill="FFFFFF"/>
          <w:lang w:val="tr-TR" w:eastAsia="ru-RU"/>
        </w:rPr>
        <w:t xml:space="preserve">2009-2016 dönemi için </w:t>
      </w:r>
      <w:r w:rsidR="00472842" w:rsidRPr="007D507F">
        <w:rPr>
          <w:rFonts w:ascii="Times New Roman" w:eastAsia="Times New Roman" w:hAnsi="Times New Roman" w:cs="Times New Roman"/>
          <w:sz w:val="24"/>
          <w:szCs w:val="24"/>
          <w:shd w:val="clear" w:color="auto" w:fill="FFFFFF"/>
          <w:lang w:val="tr-TR" w:eastAsia="ru-RU"/>
        </w:rPr>
        <w:t>katkı</w:t>
      </w:r>
      <w:r w:rsidRPr="007D507F">
        <w:rPr>
          <w:rFonts w:ascii="Times New Roman" w:eastAsia="Times New Roman" w:hAnsi="Times New Roman" w:cs="Times New Roman"/>
          <w:sz w:val="24"/>
          <w:szCs w:val="24"/>
          <w:shd w:val="clear" w:color="auto" w:fill="FFFFFF"/>
          <w:lang w:val="tr-TR" w:eastAsia="ru-RU"/>
        </w:rPr>
        <w:t xml:space="preserve"> payı</w:t>
      </w:r>
      <w:r w:rsidR="00D10231" w:rsidRPr="007D507F">
        <w:rPr>
          <w:rFonts w:ascii="Times New Roman" w:eastAsia="Times New Roman" w:hAnsi="Times New Roman" w:cs="Times New Roman"/>
          <w:sz w:val="24"/>
          <w:szCs w:val="24"/>
          <w:shd w:val="clear" w:color="auto" w:fill="FFFFFF"/>
          <w:lang w:val="tr-TR" w:eastAsia="ru-RU"/>
        </w:rPr>
        <w:t xml:space="preserve"> miktarı </w:t>
      </w:r>
      <w:r w:rsidRPr="007D507F">
        <w:rPr>
          <w:rFonts w:ascii="Times New Roman" w:eastAsia="Times New Roman" w:hAnsi="Times New Roman" w:cs="Times New Roman"/>
          <w:sz w:val="24"/>
          <w:szCs w:val="24"/>
          <w:shd w:val="clear" w:color="auto" w:fill="FFFFFF"/>
          <w:lang w:val="tr-TR" w:eastAsia="ru-RU"/>
        </w:rPr>
        <w:t xml:space="preserve">nominal </w:t>
      </w:r>
      <w:r w:rsidRPr="007D507F">
        <w:rPr>
          <w:rFonts w:ascii="Times New Roman" w:eastAsia="Times New Roman" w:hAnsi="Times New Roman" w:cs="Times New Roman"/>
          <w:sz w:val="24"/>
          <w:szCs w:val="24"/>
          <w:shd w:val="clear" w:color="auto" w:fill="FFFFFF"/>
          <w:lang w:val="tr-TR" w:eastAsia="ru-RU"/>
        </w:rPr>
        <w:lastRenderedPageBreak/>
        <w:t>olarak 2,8 kat artarken, yüzdesel olarak azalmıştır</w:t>
      </w:r>
      <w:r w:rsidRPr="007D507F">
        <w:rPr>
          <w:rFonts w:ascii="Times New Roman" w:eastAsia="Times New Roman" w:hAnsi="Times New Roman" w:cs="Times New Roman"/>
          <w:color w:val="000000" w:themeColor="text1"/>
          <w:sz w:val="24"/>
          <w:szCs w:val="24"/>
          <w:shd w:val="clear" w:color="auto" w:fill="FFFFFF"/>
          <w:lang w:val="tr-TR" w:eastAsia="ru-RU"/>
        </w:rPr>
        <w:t>. Örneğin</w:t>
      </w:r>
      <w:r w:rsidR="00472842" w:rsidRPr="007D507F">
        <w:rPr>
          <w:rFonts w:ascii="Times New Roman" w:eastAsia="Times New Roman" w:hAnsi="Times New Roman" w:cs="Times New Roman"/>
          <w:color w:val="000000" w:themeColor="text1"/>
          <w:sz w:val="24"/>
          <w:szCs w:val="24"/>
          <w:shd w:val="clear" w:color="auto" w:fill="FFFFFF"/>
          <w:lang w:val="tr-TR" w:eastAsia="ru-RU"/>
        </w:rPr>
        <w:t>,</w:t>
      </w:r>
      <w:r w:rsidRPr="007D507F">
        <w:rPr>
          <w:rFonts w:ascii="Times New Roman" w:eastAsia="Times New Roman" w:hAnsi="Times New Roman" w:cs="Times New Roman"/>
          <w:color w:val="000000" w:themeColor="text1"/>
          <w:sz w:val="24"/>
          <w:szCs w:val="24"/>
          <w:shd w:val="clear" w:color="auto" w:fill="FFFFFF"/>
          <w:lang w:val="tr-TR" w:eastAsia="ru-RU"/>
        </w:rPr>
        <w:t xml:space="preserve"> 2019 yıl</w:t>
      </w:r>
      <w:r w:rsidR="00472842" w:rsidRPr="007D507F">
        <w:rPr>
          <w:rFonts w:ascii="Times New Roman" w:eastAsia="Times New Roman" w:hAnsi="Times New Roman" w:cs="Times New Roman"/>
          <w:color w:val="000000" w:themeColor="text1"/>
          <w:sz w:val="24"/>
          <w:szCs w:val="24"/>
          <w:shd w:val="clear" w:color="auto" w:fill="FFFFFF"/>
          <w:lang w:val="tr-TR" w:eastAsia="ru-RU"/>
        </w:rPr>
        <w:t>ında katkı paylarının payı %3,6’</w:t>
      </w:r>
      <w:r w:rsidRPr="007D507F">
        <w:rPr>
          <w:rFonts w:ascii="Times New Roman" w:eastAsia="Times New Roman" w:hAnsi="Times New Roman" w:cs="Times New Roman"/>
          <w:color w:val="000000" w:themeColor="text1"/>
          <w:sz w:val="24"/>
          <w:szCs w:val="24"/>
          <w:shd w:val="clear" w:color="auto" w:fill="FFFFFF"/>
          <w:lang w:val="tr-TR" w:eastAsia="ru-RU"/>
        </w:rPr>
        <w:t>ya gerilerken, 2009</w:t>
      </w:r>
      <w:r w:rsidR="002126BB" w:rsidRPr="007D507F">
        <w:rPr>
          <w:rFonts w:ascii="Times New Roman" w:eastAsia="Times New Roman" w:hAnsi="Times New Roman" w:cs="Times New Roman"/>
          <w:color w:val="000000" w:themeColor="text1"/>
          <w:sz w:val="24"/>
          <w:szCs w:val="24"/>
          <w:shd w:val="clear" w:color="auto" w:fill="FFFFFF"/>
          <w:lang w:val="tr-TR" w:eastAsia="ru-RU"/>
        </w:rPr>
        <w:t xml:space="preserve"> yılında bu oran %5,1 olmuştur. </w:t>
      </w:r>
      <w:r w:rsidRPr="007D507F">
        <w:rPr>
          <w:rFonts w:ascii="Times New Roman" w:eastAsia="Times New Roman" w:hAnsi="Times New Roman" w:cs="Times New Roman"/>
          <w:sz w:val="24"/>
          <w:szCs w:val="24"/>
          <w:shd w:val="clear" w:color="auto" w:fill="FFFFFF"/>
          <w:lang w:val="tr-TR" w:eastAsia="ru-RU"/>
        </w:rPr>
        <w:t>Yatarak</w:t>
      </w:r>
      <w:r w:rsidRPr="007D507F">
        <w:rPr>
          <w:rFonts w:ascii="Times New Roman" w:eastAsia="Times New Roman" w:hAnsi="Times New Roman" w:cs="Times New Roman"/>
          <w:color w:val="000000" w:themeColor="text1"/>
          <w:sz w:val="24"/>
          <w:szCs w:val="24"/>
          <w:shd w:val="clear" w:color="auto" w:fill="FFFFFF"/>
          <w:lang w:val="tr-TR" w:eastAsia="ru-RU"/>
        </w:rPr>
        <w:t xml:space="preserve"> tedavi gören hastalar için katkı payı miktarının belirlenmesinde farklılaştırılmış bir yaklaşım kullanılırken, incelen</w:t>
      </w:r>
      <w:r w:rsidR="00D3032E" w:rsidRPr="007D507F">
        <w:rPr>
          <w:rFonts w:ascii="Times New Roman" w:eastAsia="Times New Roman" w:hAnsi="Times New Roman" w:cs="Times New Roman"/>
          <w:color w:val="000000" w:themeColor="text1"/>
          <w:sz w:val="24"/>
          <w:szCs w:val="24"/>
          <w:shd w:val="clear" w:color="auto" w:fill="FFFFFF"/>
          <w:lang w:val="tr-TR" w:eastAsia="ru-RU"/>
        </w:rPr>
        <w:t>en dönem boyunca değişmemiştir.</w:t>
      </w:r>
    </w:p>
    <w:p w14:paraId="5B742CBD" w14:textId="483C7891" w:rsidR="008A5CA3" w:rsidRPr="007D507F" w:rsidRDefault="008A5CA3"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Katkı</w:t>
      </w:r>
      <w:r w:rsidR="00D10231" w:rsidRPr="007D507F">
        <w:rPr>
          <w:rFonts w:ascii="Times New Roman" w:eastAsia="Times New Roman" w:hAnsi="Times New Roman" w:cs="Times New Roman"/>
          <w:sz w:val="24"/>
          <w:szCs w:val="24"/>
          <w:shd w:val="clear" w:color="auto" w:fill="FFFFFF"/>
          <w:lang w:val="tr-TR" w:eastAsia="ru-RU"/>
        </w:rPr>
        <w:t xml:space="preserve"> payı</w:t>
      </w:r>
      <w:r w:rsidRPr="007D507F">
        <w:rPr>
          <w:rFonts w:ascii="Times New Roman" w:eastAsia="Times New Roman" w:hAnsi="Times New Roman" w:cs="Times New Roman"/>
          <w:sz w:val="24"/>
          <w:szCs w:val="24"/>
          <w:shd w:val="clear" w:color="auto" w:fill="FFFFFF"/>
          <w:lang w:val="tr-TR" w:eastAsia="ru-RU"/>
        </w:rPr>
        <w:t>na ilişkin Yönetmelik (201</w:t>
      </w:r>
      <w:r w:rsidR="00BB1EC0" w:rsidRPr="007D507F">
        <w:rPr>
          <w:rFonts w:ascii="Times New Roman" w:eastAsia="Times New Roman" w:hAnsi="Times New Roman" w:cs="Times New Roman"/>
          <w:sz w:val="24"/>
          <w:szCs w:val="24"/>
          <w:shd w:val="clear" w:color="auto" w:fill="FFFFFF"/>
          <w:lang w:val="tr-TR" w:eastAsia="ru-RU"/>
        </w:rPr>
        <w:t xml:space="preserve">1) katkı paylarının tutarları </w:t>
      </w:r>
      <w:r w:rsidR="007C42A0" w:rsidRPr="007D507F">
        <w:rPr>
          <w:rFonts w:ascii="Times New Roman" w:eastAsia="Times New Roman" w:hAnsi="Times New Roman" w:cs="Times New Roman"/>
          <w:sz w:val="24"/>
          <w:szCs w:val="24"/>
          <w:shd w:val="clear" w:color="auto" w:fill="FFFFFF"/>
          <w:lang w:val="tr-TR" w:eastAsia="ru-RU"/>
        </w:rPr>
        <w:t>açıkla</w:t>
      </w:r>
      <w:r w:rsidR="00BB1EC0" w:rsidRPr="007D507F">
        <w:rPr>
          <w:rFonts w:ascii="Times New Roman" w:eastAsia="Times New Roman" w:hAnsi="Times New Roman" w:cs="Times New Roman"/>
          <w:sz w:val="24"/>
          <w:szCs w:val="24"/>
          <w:shd w:val="clear" w:color="auto" w:fill="FFFFFF"/>
          <w:lang w:val="tr-TR" w:eastAsia="ru-RU"/>
        </w:rPr>
        <w:t>n</w:t>
      </w:r>
      <w:r w:rsidR="007C42A0" w:rsidRPr="007D507F">
        <w:rPr>
          <w:rFonts w:ascii="Times New Roman" w:eastAsia="Times New Roman" w:hAnsi="Times New Roman" w:cs="Times New Roman"/>
          <w:sz w:val="24"/>
          <w:szCs w:val="24"/>
          <w:shd w:val="clear" w:color="auto" w:fill="FFFFFF"/>
          <w:lang w:val="tr-TR" w:eastAsia="ru-RU"/>
        </w:rPr>
        <w:t>m</w:t>
      </w:r>
      <w:r w:rsidR="00BB1EC0" w:rsidRPr="007D507F">
        <w:rPr>
          <w:rFonts w:ascii="Times New Roman" w:eastAsia="Times New Roman" w:hAnsi="Times New Roman" w:cs="Times New Roman"/>
          <w:sz w:val="24"/>
          <w:szCs w:val="24"/>
          <w:shd w:val="clear" w:color="auto" w:fill="FFFFFF"/>
          <w:lang w:val="tr-TR" w:eastAsia="ru-RU"/>
        </w:rPr>
        <w:t xml:space="preserve">ıştır. </w:t>
      </w:r>
      <w:r w:rsidR="00D9647B" w:rsidRPr="007D507F">
        <w:rPr>
          <w:rFonts w:ascii="Times New Roman" w:eastAsia="Times New Roman" w:hAnsi="Times New Roman" w:cs="Times New Roman"/>
          <w:sz w:val="24"/>
          <w:szCs w:val="24"/>
          <w:shd w:val="clear" w:color="auto" w:fill="FFFFFF"/>
          <w:lang w:val="tr-TR" w:eastAsia="ru-RU"/>
        </w:rPr>
        <w:t xml:space="preserve">70 yaşını doldurmuş vatandaşlar, emek gazileri ve sosyal yardım alanlar için </w:t>
      </w:r>
      <w:r w:rsidRPr="007D507F">
        <w:rPr>
          <w:rFonts w:ascii="Times New Roman" w:eastAsia="Times New Roman" w:hAnsi="Times New Roman" w:cs="Times New Roman"/>
          <w:sz w:val="24"/>
          <w:szCs w:val="24"/>
          <w:shd w:val="clear" w:color="auto" w:fill="FFFFFF"/>
          <w:lang w:val="tr-TR" w:eastAsia="ru-RU"/>
        </w:rPr>
        <w:t xml:space="preserve">asgari miktar (tedavi bölümü için 330 </w:t>
      </w:r>
      <w:r w:rsidR="00D10231" w:rsidRPr="007D507F">
        <w:rPr>
          <w:rFonts w:ascii="Times New Roman" w:eastAsia="Times New Roman" w:hAnsi="Times New Roman" w:cs="Times New Roman"/>
          <w:sz w:val="24"/>
          <w:szCs w:val="24"/>
          <w:shd w:val="clear" w:color="auto" w:fill="FFFFFF"/>
          <w:lang w:val="tr-TR" w:eastAsia="ru-RU"/>
        </w:rPr>
        <w:t xml:space="preserve">Som </w:t>
      </w:r>
      <w:r w:rsidRPr="007D507F">
        <w:rPr>
          <w:rFonts w:ascii="Times New Roman" w:eastAsia="Times New Roman" w:hAnsi="Times New Roman" w:cs="Times New Roman"/>
          <w:sz w:val="24"/>
          <w:szCs w:val="24"/>
          <w:shd w:val="clear" w:color="auto" w:fill="FFFFFF"/>
          <w:lang w:val="tr-TR" w:eastAsia="ru-RU"/>
        </w:rPr>
        <w:t xml:space="preserve">ve cerrahi bölüm için 430 </w:t>
      </w:r>
      <w:r w:rsidR="00D10231" w:rsidRPr="007D507F">
        <w:rPr>
          <w:rFonts w:ascii="Times New Roman" w:eastAsia="Times New Roman" w:hAnsi="Times New Roman" w:cs="Times New Roman"/>
          <w:sz w:val="24"/>
          <w:szCs w:val="24"/>
          <w:shd w:val="clear" w:color="auto" w:fill="FFFFFF"/>
          <w:lang w:val="tr-TR" w:eastAsia="ru-RU"/>
        </w:rPr>
        <w:t xml:space="preserve">Som); </w:t>
      </w:r>
      <w:r w:rsidR="002D563B" w:rsidRPr="007D507F">
        <w:rPr>
          <w:rFonts w:ascii="Times New Roman" w:eastAsia="Times New Roman" w:hAnsi="Times New Roman" w:cs="Times New Roman"/>
          <w:sz w:val="24"/>
          <w:szCs w:val="24"/>
          <w:shd w:val="clear" w:color="auto" w:fill="FFFFFF"/>
          <w:lang w:val="tr-TR" w:eastAsia="ru-RU"/>
        </w:rPr>
        <w:t xml:space="preserve">şehir, ilçe ve bölge hastanelerine giden </w:t>
      </w:r>
      <w:r w:rsidR="00B32240" w:rsidRPr="007D507F">
        <w:rPr>
          <w:rFonts w:ascii="Times New Roman" w:eastAsia="Times New Roman" w:hAnsi="Times New Roman" w:cs="Times New Roman"/>
          <w:sz w:val="24"/>
          <w:szCs w:val="24"/>
          <w:shd w:val="clear" w:color="auto" w:fill="FFFFFF"/>
          <w:lang w:val="tr-TR" w:eastAsia="ru-RU"/>
        </w:rPr>
        <w:t xml:space="preserve">5 yaş üstü </w:t>
      </w:r>
      <w:r w:rsidR="00D9647B" w:rsidRPr="007D507F">
        <w:rPr>
          <w:rFonts w:ascii="Times New Roman" w:eastAsia="Times New Roman" w:hAnsi="Times New Roman" w:cs="Times New Roman"/>
          <w:sz w:val="24"/>
          <w:szCs w:val="24"/>
          <w:shd w:val="clear" w:color="auto" w:fill="FFFFFF"/>
          <w:lang w:val="tr-TR" w:eastAsia="ru-RU"/>
        </w:rPr>
        <w:t xml:space="preserve">çocuklar, çalışan vatandaşlar, </w:t>
      </w:r>
      <w:r w:rsidR="00D10231" w:rsidRPr="007D507F">
        <w:rPr>
          <w:rFonts w:ascii="Times New Roman" w:eastAsia="Times New Roman" w:hAnsi="Times New Roman" w:cs="Times New Roman"/>
          <w:sz w:val="24"/>
          <w:szCs w:val="24"/>
          <w:shd w:val="clear" w:color="auto" w:fill="FFFFFF"/>
          <w:lang w:val="tr-TR" w:eastAsia="ru-RU"/>
        </w:rPr>
        <w:t xml:space="preserve">çiftçiler ve çiftlik </w:t>
      </w:r>
      <w:r w:rsidR="00B32240" w:rsidRPr="007D507F">
        <w:rPr>
          <w:rFonts w:ascii="Times New Roman" w:eastAsia="Times New Roman" w:hAnsi="Times New Roman" w:cs="Times New Roman"/>
          <w:sz w:val="24"/>
          <w:szCs w:val="24"/>
          <w:shd w:val="clear" w:color="auto" w:fill="FFFFFF"/>
          <w:lang w:val="tr-TR" w:eastAsia="ru-RU"/>
        </w:rPr>
        <w:t>mensupları</w:t>
      </w:r>
      <w:r w:rsidR="00151839" w:rsidRPr="007D507F">
        <w:rPr>
          <w:rFonts w:ascii="Times New Roman" w:eastAsia="Times New Roman" w:hAnsi="Times New Roman" w:cs="Times New Roman"/>
          <w:sz w:val="24"/>
          <w:szCs w:val="24"/>
          <w:shd w:val="clear" w:color="auto" w:fill="FFFFFF"/>
          <w:lang w:val="tr-TR" w:eastAsia="ru-RU"/>
        </w:rPr>
        <w:t xml:space="preserve">, </w:t>
      </w:r>
      <w:r w:rsidR="00D9647B" w:rsidRPr="007D507F">
        <w:rPr>
          <w:rFonts w:ascii="Times New Roman" w:eastAsia="Times New Roman" w:hAnsi="Times New Roman" w:cs="Times New Roman"/>
          <w:sz w:val="24"/>
          <w:szCs w:val="24"/>
          <w:shd w:val="clear" w:color="auto" w:fill="FFFFFF"/>
          <w:lang w:val="tr-TR" w:eastAsia="ru-RU"/>
        </w:rPr>
        <w:t>ZSS poliçe</w:t>
      </w:r>
      <w:r w:rsidRPr="007D507F">
        <w:rPr>
          <w:rFonts w:ascii="Times New Roman" w:eastAsia="Times New Roman" w:hAnsi="Times New Roman" w:cs="Times New Roman"/>
          <w:sz w:val="24"/>
          <w:szCs w:val="24"/>
          <w:shd w:val="clear" w:color="auto" w:fill="FFFFFF"/>
          <w:lang w:val="tr-TR" w:eastAsia="ru-RU"/>
        </w:rPr>
        <w:t xml:space="preserve"> sahipleri dahil olmak üzere sigortalı hastalar için ortalama katkı payı düzeyi (tedavi ve cerrahi </w:t>
      </w:r>
      <w:r w:rsidR="00D10231" w:rsidRPr="007D507F">
        <w:rPr>
          <w:rFonts w:ascii="Times New Roman" w:eastAsia="Times New Roman" w:hAnsi="Times New Roman" w:cs="Times New Roman"/>
          <w:sz w:val="24"/>
          <w:szCs w:val="24"/>
          <w:shd w:val="clear" w:color="auto" w:fill="FFFFFF"/>
          <w:lang w:val="tr-TR" w:eastAsia="ru-RU"/>
        </w:rPr>
        <w:t xml:space="preserve">bölümler için sırasıyla 840 Som </w:t>
      </w:r>
      <w:r w:rsidRPr="007D507F">
        <w:rPr>
          <w:rFonts w:ascii="Times New Roman" w:eastAsia="Times New Roman" w:hAnsi="Times New Roman" w:cs="Times New Roman"/>
          <w:sz w:val="24"/>
          <w:szCs w:val="24"/>
          <w:shd w:val="clear" w:color="auto" w:fill="FFFFFF"/>
          <w:lang w:val="tr-TR" w:eastAsia="ru-RU"/>
        </w:rPr>
        <w:t xml:space="preserve">/ 1090 </w:t>
      </w:r>
      <w:r w:rsidR="00D10231" w:rsidRPr="007D507F">
        <w:rPr>
          <w:rFonts w:ascii="Times New Roman" w:eastAsia="Times New Roman" w:hAnsi="Times New Roman" w:cs="Times New Roman"/>
          <w:sz w:val="24"/>
          <w:szCs w:val="24"/>
          <w:shd w:val="clear" w:color="auto" w:fill="FFFFFF"/>
          <w:lang w:val="tr-TR" w:eastAsia="ru-RU"/>
        </w:rPr>
        <w:t xml:space="preserve">Som) </w:t>
      </w:r>
      <w:r w:rsidRPr="007D507F">
        <w:rPr>
          <w:rFonts w:ascii="Times New Roman" w:eastAsia="Times New Roman" w:hAnsi="Times New Roman" w:cs="Times New Roman"/>
          <w:sz w:val="24"/>
          <w:szCs w:val="24"/>
          <w:shd w:val="clear" w:color="auto" w:fill="FFFFFF"/>
          <w:lang w:val="tr-TR" w:eastAsia="ru-RU"/>
        </w:rPr>
        <w:t>belirlen</w:t>
      </w:r>
      <w:r w:rsidR="00BB1EC0" w:rsidRPr="007D507F">
        <w:rPr>
          <w:rFonts w:ascii="Times New Roman" w:eastAsia="Times New Roman" w:hAnsi="Times New Roman" w:cs="Times New Roman"/>
          <w:sz w:val="24"/>
          <w:szCs w:val="24"/>
          <w:shd w:val="clear" w:color="auto" w:fill="FFFFFF"/>
          <w:lang w:val="tr-TR" w:eastAsia="ru-RU"/>
        </w:rPr>
        <w:t>ir</w:t>
      </w:r>
      <w:r w:rsidRPr="007D507F">
        <w:rPr>
          <w:rFonts w:ascii="Times New Roman" w:eastAsia="Times New Roman" w:hAnsi="Times New Roman" w:cs="Times New Roman"/>
          <w:sz w:val="24"/>
          <w:szCs w:val="24"/>
          <w:shd w:val="clear" w:color="auto" w:fill="FFFFFF"/>
          <w:lang w:val="tr-TR" w:eastAsia="ru-RU"/>
        </w:rPr>
        <w:t xml:space="preserve">. </w:t>
      </w:r>
      <w:r w:rsidR="002D563B" w:rsidRPr="007D507F">
        <w:rPr>
          <w:rFonts w:ascii="Times New Roman" w:eastAsia="Times New Roman" w:hAnsi="Times New Roman" w:cs="Times New Roman"/>
          <w:sz w:val="24"/>
          <w:szCs w:val="24"/>
          <w:shd w:val="clear" w:color="auto" w:fill="FFFFFF"/>
          <w:lang w:val="tr-TR" w:eastAsia="ru-RU"/>
        </w:rPr>
        <w:t xml:space="preserve">Devlet </w:t>
      </w:r>
      <w:r w:rsidRPr="007D507F">
        <w:rPr>
          <w:rFonts w:ascii="Times New Roman" w:eastAsia="Times New Roman" w:hAnsi="Times New Roman" w:cs="Times New Roman"/>
          <w:sz w:val="24"/>
          <w:szCs w:val="24"/>
          <w:shd w:val="clear" w:color="auto" w:fill="FFFFFF"/>
          <w:lang w:val="tr-TR" w:eastAsia="ru-RU"/>
        </w:rPr>
        <w:t>kuruluşlarında ve ulusal merkezlerde kat</w:t>
      </w:r>
      <w:r w:rsidR="00EF6BC9" w:rsidRPr="007D507F">
        <w:rPr>
          <w:rFonts w:ascii="Times New Roman" w:eastAsia="Times New Roman" w:hAnsi="Times New Roman" w:cs="Times New Roman"/>
          <w:sz w:val="24"/>
          <w:szCs w:val="24"/>
          <w:shd w:val="clear" w:color="auto" w:fill="FFFFFF"/>
          <w:lang w:val="tr-TR" w:eastAsia="ru-RU"/>
        </w:rPr>
        <w:t xml:space="preserve">kı payı seviyesi daha yüksektir </w:t>
      </w:r>
      <w:r w:rsidRPr="007D507F">
        <w:rPr>
          <w:rFonts w:ascii="Times New Roman" w:eastAsia="Times New Roman" w:hAnsi="Times New Roman" w:cs="Times New Roman"/>
          <w:sz w:val="24"/>
          <w:szCs w:val="24"/>
          <w:shd w:val="clear" w:color="auto" w:fill="FFFFFF"/>
          <w:lang w:val="tr-TR" w:eastAsia="ru-RU"/>
        </w:rPr>
        <w:t xml:space="preserve">– 1160 </w:t>
      </w:r>
      <w:r w:rsidR="00B32240" w:rsidRPr="007D507F">
        <w:rPr>
          <w:rFonts w:ascii="Times New Roman" w:eastAsia="Times New Roman" w:hAnsi="Times New Roman" w:cs="Times New Roman"/>
          <w:sz w:val="24"/>
          <w:szCs w:val="24"/>
          <w:shd w:val="clear" w:color="auto" w:fill="FFFFFF"/>
          <w:lang w:val="tr-TR" w:eastAsia="ru-RU"/>
        </w:rPr>
        <w:t>Som</w:t>
      </w:r>
      <w:r w:rsidR="002D563B"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sz w:val="24"/>
          <w:szCs w:val="24"/>
          <w:shd w:val="clear" w:color="auto" w:fill="FFFFFF"/>
          <w:lang w:val="tr-TR" w:eastAsia="ru-RU"/>
        </w:rPr>
        <w:t>/</w:t>
      </w:r>
      <w:r w:rsidR="002D563B"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sz w:val="24"/>
          <w:szCs w:val="24"/>
          <w:shd w:val="clear" w:color="auto" w:fill="FFFFFF"/>
          <w:lang w:val="tr-TR" w:eastAsia="ru-RU"/>
        </w:rPr>
        <w:t xml:space="preserve">1510 </w:t>
      </w:r>
      <w:r w:rsidR="00B32240" w:rsidRPr="007D507F">
        <w:rPr>
          <w:rFonts w:ascii="Times New Roman" w:eastAsia="Times New Roman" w:hAnsi="Times New Roman" w:cs="Times New Roman"/>
          <w:sz w:val="24"/>
          <w:szCs w:val="24"/>
          <w:shd w:val="clear" w:color="auto" w:fill="FFFFFF"/>
          <w:lang w:val="tr-TR" w:eastAsia="ru-RU"/>
        </w:rPr>
        <w:t>Som</w:t>
      </w:r>
      <w:r w:rsidR="00BB1EC0" w:rsidRPr="007D507F">
        <w:rPr>
          <w:rFonts w:ascii="Times New Roman" w:eastAsia="Times New Roman" w:hAnsi="Times New Roman" w:cs="Times New Roman"/>
          <w:sz w:val="24"/>
          <w:szCs w:val="24"/>
          <w:shd w:val="clear" w:color="auto" w:fill="FFFFFF"/>
          <w:lang w:val="tr-TR" w:eastAsia="ru-RU"/>
        </w:rPr>
        <w:t>’dur</w:t>
      </w:r>
      <w:r w:rsidRPr="007D507F">
        <w:rPr>
          <w:rFonts w:ascii="Times New Roman" w:eastAsia="Times New Roman" w:hAnsi="Times New Roman" w:cs="Times New Roman"/>
          <w:sz w:val="24"/>
          <w:szCs w:val="24"/>
          <w:shd w:val="clear" w:color="auto" w:fill="FFFFFF"/>
          <w:lang w:val="tr-TR" w:eastAsia="ru-RU"/>
        </w:rPr>
        <w:t xml:space="preserve">. </w:t>
      </w:r>
      <w:r w:rsidR="00BB1EC0" w:rsidRPr="007D507F">
        <w:rPr>
          <w:rFonts w:ascii="Times New Roman" w:eastAsia="Times New Roman" w:hAnsi="Times New Roman" w:cs="Times New Roman"/>
          <w:sz w:val="24"/>
          <w:szCs w:val="24"/>
          <w:shd w:val="clear" w:color="auto" w:fill="FFFFFF"/>
          <w:lang w:val="tr-TR" w:eastAsia="ru-RU"/>
        </w:rPr>
        <w:t>S</w:t>
      </w:r>
      <w:r w:rsidRPr="007D507F">
        <w:rPr>
          <w:rFonts w:ascii="Times New Roman" w:eastAsia="Times New Roman" w:hAnsi="Times New Roman" w:cs="Times New Roman"/>
          <w:sz w:val="24"/>
          <w:szCs w:val="24"/>
          <w:shd w:val="clear" w:color="auto" w:fill="FFFFFF"/>
          <w:lang w:val="tr-TR" w:eastAsia="ru-RU"/>
        </w:rPr>
        <w:t xml:space="preserve">on olarak, diğer tüm hastalar için maksimum katkı payı düzeyi şehir ve ilçedeki hastanelere - 2650 </w:t>
      </w:r>
      <w:r w:rsidR="00B32240" w:rsidRPr="007D507F">
        <w:rPr>
          <w:rFonts w:ascii="Times New Roman" w:eastAsia="Times New Roman" w:hAnsi="Times New Roman" w:cs="Times New Roman"/>
          <w:sz w:val="24"/>
          <w:szCs w:val="24"/>
          <w:shd w:val="clear" w:color="auto" w:fill="FFFFFF"/>
          <w:lang w:val="tr-TR" w:eastAsia="ru-RU"/>
        </w:rPr>
        <w:t>Som</w:t>
      </w:r>
      <w:r w:rsidRPr="007D507F">
        <w:rPr>
          <w:rFonts w:ascii="Times New Roman" w:eastAsia="Times New Roman" w:hAnsi="Times New Roman" w:cs="Times New Roman"/>
          <w:sz w:val="24"/>
          <w:szCs w:val="24"/>
          <w:shd w:val="clear" w:color="auto" w:fill="FFFFFF"/>
          <w:lang w:val="tr-TR" w:eastAsia="ru-RU"/>
        </w:rPr>
        <w:t xml:space="preserve"> /</w:t>
      </w:r>
      <w:r w:rsidR="00B32240"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sz w:val="24"/>
          <w:szCs w:val="24"/>
          <w:shd w:val="clear" w:color="auto" w:fill="FFFFFF"/>
          <w:lang w:val="tr-TR" w:eastAsia="ru-RU"/>
        </w:rPr>
        <w:t xml:space="preserve">3440 </w:t>
      </w:r>
      <w:r w:rsidR="00B32240" w:rsidRPr="007D507F">
        <w:rPr>
          <w:rFonts w:ascii="Times New Roman" w:eastAsia="Times New Roman" w:hAnsi="Times New Roman" w:cs="Times New Roman"/>
          <w:sz w:val="24"/>
          <w:szCs w:val="24"/>
          <w:shd w:val="clear" w:color="auto" w:fill="FFFFFF"/>
          <w:lang w:val="tr-TR" w:eastAsia="ru-RU"/>
        </w:rPr>
        <w:t>Som</w:t>
      </w:r>
      <w:r w:rsidRPr="007D507F">
        <w:rPr>
          <w:rFonts w:ascii="Times New Roman" w:eastAsia="Times New Roman" w:hAnsi="Times New Roman" w:cs="Times New Roman"/>
          <w:sz w:val="24"/>
          <w:szCs w:val="24"/>
          <w:shd w:val="clear" w:color="auto" w:fill="FFFFFF"/>
          <w:lang w:val="tr-TR" w:eastAsia="ru-RU"/>
        </w:rPr>
        <w:t>, cumhuriyetçi örgütler ve ulusa</w:t>
      </w:r>
      <w:r w:rsidR="00B32240" w:rsidRPr="007D507F">
        <w:rPr>
          <w:rFonts w:ascii="Times New Roman" w:eastAsia="Times New Roman" w:hAnsi="Times New Roman" w:cs="Times New Roman"/>
          <w:sz w:val="24"/>
          <w:szCs w:val="24"/>
          <w:shd w:val="clear" w:color="auto" w:fill="FFFFFF"/>
          <w:lang w:val="tr-TR" w:eastAsia="ru-RU"/>
        </w:rPr>
        <w:t xml:space="preserve">l merkezlere - 2980 Som / 3870 Som </w:t>
      </w:r>
      <w:r w:rsidR="002D563B" w:rsidRPr="007D507F">
        <w:rPr>
          <w:rFonts w:ascii="Times New Roman" w:eastAsia="Times New Roman" w:hAnsi="Times New Roman" w:cs="Times New Roman"/>
          <w:sz w:val="24"/>
          <w:szCs w:val="24"/>
          <w:shd w:val="clear" w:color="auto" w:fill="FFFFFF"/>
          <w:lang w:val="tr-TR" w:eastAsia="ru-RU"/>
        </w:rPr>
        <w:t xml:space="preserve">olarak </w:t>
      </w:r>
      <w:r w:rsidR="00B32240" w:rsidRPr="007D507F">
        <w:rPr>
          <w:rFonts w:ascii="Times New Roman" w:eastAsia="Times New Roman" w:hAnsi="Times New Roman" w:cs="Times New Roman"/>
          <w:sz w:val="24"/>
          <w:szCs w:val="24"/>
          <w:shd w:val="clear" w:color="auto" w:fill="FFFFFF"/>
          <w:lang w:val="tr-TR" w:eastAsia="ru-RU"/>
        </w:rPr>
        <w:t>belirlenir.</w:t>
      </w:r>
    </w:p>
    <w:p w14:paraId="12E52EB9" w14:textId="77777777" w:rsidR="008A5CA3" w:rsidRPr="007D507F" w:rsidRDefault="008A5CA3"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Katkı payının miktarı, pa</w:t>
      </w:r>
      <w:r w:rsidR="002D563B" w:rsidRPr="007D507F">
        <w:rPr>
          <w:rFonts w:ascii="Times New Roman" w:eastAsia="Times New Roman" w:hAnsi="Times New Roman" w:cs="Times New Roman"/>
          <w:sz w:val="24"/>
          <w:szCs w:val="24"/>
          <w:shd w:val="clear" w:color="auto" w:fill="FFFFFF"/>
          <w:lang w:val="tr-TR" w:eastAsia="ru-RU"/>
        </w:rPr>
        <w:t>ydaşların tartışmasına tabidir v</w:t>
      </w:r>
      <w:r w:rsidRPr="007D507F">
        <w:rPr>
          <w:rFonts w:ascii="Times New Roman" w:eastAsia="Times New Roman" w:hAnsi="Times New Roman" w:cs="Times New Roman"/>
          <w:sz w:val="24"/>
          <w:szCs w:val="24"/>
          <w:shd w:val="clear" w:color="auto" w:fill="FFFFFF"/>
          <w:lang w:val="tr-TR" w:eastAsia="ru-RU"/>
        </w:rPr>
        <w:t>e burada görüşler bölünmüş durumda</w:t>
      </w:r>
      <w:r w:rsidR="002D563B" w:rsidRPr="007D507F">
        <w:rPr>
          <w:rFonts w:ascii="Times New Roman" w:eastAsia="Times New Roman" w:hAnsi="Times New Roman" w:cs="Times New Roman"/>
          <w:sz w:val="24"/>
          <w:szCs w:val="24"/>
          <w:shd w:val="clear" w:color="auto" w:fill="FFFFFF"/>
          <w:lang w:val="tr-TR" w:eastAsia="ru-RU"/>
        </w:rPr>
        <w:t>dır</w:t>
      </w:r>
      <w:r w:rsidRPr="007D507F">
        <w:rPr>
          <w:rFonts w:ascii="Times New Roman" w:eastAsia="Times New Roman" w:hAnsi="Times New Roman" w:cs="Times New Roman"/>
          <w:sz w:val="24"/>
          <w:szCs w:val="24"/>
          <w:shd w:val="clear" w:color="auto" w:fill="FFFFFF"/>
          <w:lang w:val="tr-TR" w:eastAsia="ru-RU"/>
        </w:rPr>
        <w:t>. Bazıları büyüklüğü hakkında tartışırken, diğerleri daha kategoriktir ve bu ödemelerin tamamen iptal edilmesini önerir.</w:t>
      </w:r>
    </w:p>
    <w:p w14:paraId="7D3E1D6F" w14:textId="77777777" w:rsidR="008A5CA3" w:rsidRPr="007D507F" w:rsidRDefault="008A5CA3"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Birinci görüş baskındır ve argüman, incelenen dönemde tıbbi hizmetlerin maliyetinin arttığ</w:t>
      </w:r>
      <w:r w:rsidR="00B32240" w:rsidRPr="007D507F">
        <w:rPr>
          <w:rFonts w:ascii="Times New Roman" w:eastAsia="Times New Roman" w:hAnsi="Times New Roman" w:cs="Times New Roman"/>
          <w:sz w:val="24"/>
          <w:szCs w:val="24"/>
          <w:shd w:val="clear" w:color="auto" w:fill="FFFFFF"/>
          <w:lang w:val="tr-TR" w:eastAsia="ru-RU"/>
        </w:rPr>
        <w:t>ı ve katkı payı miktarının 2002’</w:t>
      </w:r>
      <w:r w:rsidRPr="007D507F">
        <w:rPr>
          <w:rFonts w:ascii="Times New Roman" w:eastAsia="Times New Roman" w:hAnsi="Times New Roman" w:cs="Times New Roman"/>
          <w:sz w:val="24"/>
          <w:szCs w:val="24"/>
          <w:shd w:val="clear" w:color="auto" w:fill="FFFFFF"/>
          <w:lang w:val="tr-TR" w:eastAsia="ru-RU"/>
        </w:rPr>
        <w:t xml:space="preserve">den bu yana değişmediği ve katkı payı bu hizmetlerin bir parçası olduğu için </w:t>
      </w:r>
      <w:r w:rsidR="002D563B" w:rsidRPr="007D507F">
        <w:rPr>
          <w:rFonts w:ascii="Times New Roman" w:eastAsia="Times New Roman" w:hAnsi="Times New Roman" w:cs="Times New Roman"/>
          <w:sz w:val="24"/>
          <w:szCs w:val="24"/>
          <w:shd w:val="clear" w:color="auto" w:fill="FFFFFF"/>
          <w:lang w:val="tr-TR" w:eastAsia="ru-RU"/>
        </w:rPr>
        <w:t xml:space="preserve">tutarı </w:t>
      </w:r>
      <w:r w:rsidRPr="007D507F">
        <w:rPr>
          <w:rFonts w:ascii="Times New Roman" w:eastAsia="Times New Roman" w:hAnsi="Times New Roman" w:cs="Times New Roman"/>
          <w:sz w:val="24"/>
          <w:szCs w:val="24"/>
          <w:shd w:val="clear" w:color="auto" w:fill="FFFFFF"/>
          <w:lang w:val="tr-TR" w:eastAsia="ru-RU"/>
        </w:rPr>
        <w:t>%50-30</w:t>
      </w:r>
      <w:r w:rsidR="00B32240" w:rsidRPr="007D507F">
        <w:rPr>
          <w:rFonts w:ascii="Times New Roman" w:eastAsia="Times New Roman" w:hAnsi="Times New Roman" w:cs="Times New Roman"/>
          <w:sz w:val="24"/>
          <w:szCs w:val="24"/>
          <w:shd w:val="clear" w:color="auto" w:fill="FFFFFF"/>
          <w:lang w:val="tr-TR" w:eastAsia="ru-RU"/>
        </w:rPr>
        <w:t xml:space="preserve">0 </w:t>
      </w:r>
      <w:r w:rsidR="002D563B" w:rsidRPr="007D507F">
        <w:rPr>
          <w:rFonts w:ascii="Times New Roman" w:eastAsia="Times New Roman" w:hAnsi="Times New Roman" w:cs="Times New Roman"/>
          <w:sz w:val="24"/>
          <w:szCs w:val="24"/>
          <w:shd w:val="clear" w:color="auto" w:fill="FFFFFF"/>
          <w:lang w:val="tr-TR" w:eastAsia="ru-RU"/>
        </w:rPr>
        <w:t xml:space="preserve">oranına </w:t>
      </w:r>
      <w:r w:rsidR="00B32240" w:rsidRPr="007D507F">
        <w:rPr>
          <w:rFonts w:ascii="Times New Roman" w:eastAsia="Times New Roman" w:hAnsi="Times New Roman" w:cs="Times New Roman"/>
          <w:sz w:val="24"/>
          <w:szCs w:val="24"/>
          <w:shd w:val="clear" w:color="auto" w:fill="FFFFFF"/>
          <w:lang w:val="tr-TR" w:eastAsia="ru-RU"/>
        </w:rPr>
        <w:t>yükseltilmelidir (Uç</w:t>
      </w:r>
      <w:r w:rsidR="002D563B" w:rsidRPr="007D507F">
        <w:rPr>
          <w:rFonts w:ascii="Times New Roman" w:eastAsia="Times New Roman" w:hAnsi="Times New Roman" w:cs="Times New Roman"/>
          <w:sz w:val="24"/>
          <w:szCs w:val="24"/>
          <w:shd w:val="clear" w:color="auto" w:fill="FFFFFF"/>
          <w:lang w:val="tr-TR" w:eastAsia="ru-RU"/>
        </w:rPr>
        <w:t xml:space="preserve">kempirova, </w:t>
      </w:r>
      <w:r w:rsidRPr="007D507F">
        <w:rPr>
          <w:rFonts w:ascii="Times New Roman" w:eastAsia="Times New Roman" w:hAnsi="Times New Roman" w:cs="Times New Roman"/>
          <w:sz w:val="24"/>
          <w:szCs w:val="24"/>
          <w:shd w:val="clear" w:color="auto" w:fill="FFFFFF"/>
          <w:lang w:val="tr-TR" w:eastAsia="ru-RU"/>
        </w:rPr>
        <w:t>2011). Katkı payının kaldırılmasını savunanlar, katkı payının kendilerini itibarsızlaştırdığını iddia etmektedirler. Gayri resmi ödemeleri yasallaştırmak için tanıtıldı. Ancak gerçekte hastaların yapılan katkı paylarına ek olarak ilaç ve bazı tıbbi malzeme satın aldıkları ve ayrıca doktora hediye veya para verdikleri ortaya çıkmaktadır (Mambetov, 2011).</w:t>
      </w:r>
    </w:p>
    <w:p w14:paraId="52FC2E4C" w14:textId="403435A6" w:rsidR="008A5CA3" w:rsidRPr="007D507F" w:rsidRDefault="008A5CA3"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 xml:space="preserve">Ülkenin farklı bölgelerinde yaşayan vatandaşlardan </w:t>
      </w:r>
      <w:r w:rsidR="00A8348E" w:rsidRPr="007D507F">
        <w:rPr>
          <w:rFonts w:ascii="Times New Roman" w:eastAsia="Times New Roman" w:hAnsi="Times New Roman" w:cs="Times New Roman"/>
          <w:sz w:val="24"/>
          <w:szCs w:val="24"/>
          <w:shd w:val="clear" w:color="auto" w:fill="FFFFFF"/>
          <w:lang w:val="tr-TR" w:eastAsia="ru-RU"/>
        </w:rPr>
        <w:t>katkı payı</w:t>
      </w:r>
      <w:r w:rsidRPr="007D507F">
        <w:rPr>
          <w:rFonts w:ascii="Times New Roman" w:eastAsia="Times New Roman" w:hAnsi="Times New Roman" w:cs="Times New Roman"/>
          <w:sz w:val="24"/>
          <w:szCs w:val="24"/>
          <w:shd w:val="clear" w:color="auto" w:fill="FFFFFF"/>
          <w:lang w:val="tr-TR" w:eastAsia="ru-RU"/>
        </w:rPr>
        <w:t xml:space="preserve"> fonlarının alınması düzensizdir. Bu göstergenin bölgesel bağlamda analizi Tablo</w:t>
      </w:r>
      <w:r w:rsidR="00A8348E" w:rsidRPr="007D507F">
        <w:rPr>
          <w:rFonts w:ascii="Times New Roman" w:eastAsia="Times New Roman" w:hAnsi="Times New Roman" w:cs="Times New Roman"/>
          <w:sz w:val="24"/>
          <w:szCs w:val="24"/>
          <w:shd w:val="clear" w:color="auto" w:fill="FFFFFF"/>
          <w:lang w:val="tr-TR" w:eastAsia="ru-RU"/>
        </w:rPr>
        <w:t xml:space="preserve"> </w:t>
      </w:r>
      <w:r w:rsidR="00C76326" w:rsidRPr="007D507F">
        <w:rPr>
          <w:rFonts w:ascii="Times New Roman" w:eastAsia="Times New Roman" w:hAnsi="Times New Roman" w:cs="Times New Roman"/>
          <w:sz w:val="24"/>
          <w:szCs w:val="24"/>
          <w:shd w:val="clear" w:color="auto" w:fill="FFFFFF"/>
          <w:lang w:val="tr-TR" w:eastAsia="ru-RU"/>
        </w:rPr>
        <w:t>4</w:t>
      </w:r>
      <w:r w:rsidR="00A8348E" w:rsidRPr="007D507F">
        <w:rPr>
          <w:rFonts w:ascii="Times New Roman" w:eastAsia="Times New Roman" w:hAnsi="Times New Roman" w:cs="Times New Roman"/>
          <w:sz w:val="24"/>
          <w:szCs w:val="24"/>
          <w:shd w:val="clear" w:color="auto" w:fill="FFFFFF"/>
          <w:lang w:val="tr-TR" w:eastAsia="ru-RU"/>
        </w:rPr>
        <w:t xml:space="preserve">’de sunulmaktadır. </w:t>
      </w:r>
      <w:r w:rsidR="000A05F0" w:rsidRPr="007D507F">
        <w:rPr>
          <w:rFonts w:ascii="Times New Roman" w:eastAsia="Times New Roman" w:hAnsi="Times New Roman" w:cs="Times New Roman"/>
          <w:sz w:val="24"/>
          <w:szCs w:val="24"/>
          <w:shd w:val="clear" w:color="auto" w:fill="FFFFFF"/>
          <w:lang w:val="tr-TR" w:eastAsia="ru-RU"/>
        </w:rPr>
        <w:t>2009-2016 dönemi içinde</w:t>
      </w:r>
      <w:r w:rsidRPr="007D507F">
        <w:rPr>
          <w:rFonts w:ascii="Times New Roman" w:eastAsia="Times New Roman" w:hAnsi="Times New Roman" w:cs="Times New Roman"/>
          <w:sz w:val="24"/>
          <w:szCs w:val="24"/>
          <w:shd w:val="clear" w:color="auto" w:fill="FFFFFF"/>
          <w:lang w:val="tr-TR" w:eastAsia="ru-RU"/>
        </w:rPr>
        <w:t xml:space="preserve"> toplam katkı payı tutarı 2,3 kat artmıştır. </w:t>
      </w:r>
      <w:r w:rsidR="00BB1EC0" w:rsidRPr="007D507F">
        <w:rPr>
          <w:rFonts w:ascii="Times New Roman" w:eastAsia="Times New Roman" w:hAnsi="Times New Roman" w:cs="Times New Roman"/>
          <w:sz w:val="24"/>
          <w:szCs w:val="24"/>
          <w:shd w:val="clear" w:color="auto" w:fill="FFFFFF"/>
          <w:lang w:val="tr-TR" w:eastAsia="ru-RU"/>
        </w:rPr>
        <w:t>B</w:t>
      </w:r>
      <w:r w:rsidRPr="007D507F">
        <w:rPr>
          <w:rFonts w:ascii="Times New Roman" w:eastAsia="Times New Roman" w:hAnsi="Times New Roman" w:cs="Times New Roman"/>
          <w:sz w:val="24"/>
          <w:szCs w:val="24"/>
          <w:shd w:val="clear" w:color="auto" w:fill="FFFFFF"/>
          <w:lang w:val="tr-TR" w:eastAsia="ru-RU"/>
        </w:rPr>
        <w:t xml:space="preserve">ireysel bölgeler </w:t>
      </w:r>
      <w:r w:rsidR="000A05F0" w:rsidRPr="007D507F">
        <w:rPr>
          <w:rFonts w:ascii="Times New Roman" w:eastAsia="Times New Roman" w:hAnsi="Times New Roman" w:cs="Times New Roman"/>
          <w:sz w:val="24"/>
          <w:szCs w:val="24"/>
          <w:shd w:val="clear" w:color="auto" w:fill="FFFFFF"/>
          <w:lang w:val="tr-TR" w:eastAsia="ru-RU"/>
        </w:rPr>
        <w:t>incelendiğinde</w:t>
      </w:r>
      <w:r w:rsidRPr="007D507F">
        <w:rPr>
          <w:rFonts w:ascii="Times New Roman" w:eastAsia="Times New Roman" w:hAnsi="Times New Roman" w:cs="Times New Roman"/>
          <w:sz w:val="24"/>
          <w:szCs w:val="24"/>
          <w:shd w:val="clear" w:color="auto" w:fill="FFFFFF"/>
          <w:lang w:val="tr-TR" w:eastAsia="ru-RU"/>
        </w:rPr>
        <w:t xml:space="preserve"> Bişkek önde (2,9 kat) </w:t>
      </w:r>
      <w:r w:rsidR="000A05F0" w:rsidRPr="007D507F">
        <w:rPr>
          <w:rFonts w:ascii="Times New Roman" w:eastAsia="Times New Roman" w:hAnsi="Times New Roman" w:cs="Times New Roman"/>
          <w:sz w:val="24"/>
          <w:szCs w:val="24"/>
          <w:shd w:val="clear" w:color="auto" w:fill="FFFFFF"/>
          <w:lang w:val="tr-TR" w:eastAsia="ru-RU"/>
        </w:rPr>
        <w:t xml:space="preserve">görülmektedir. </w:t>
      </w:r>
      <w:r w:rsidRPr="007D507F">
        <w:rPr>
          <w:rFonts w:ascii="Times New Roman" w:eastAsia="Times New Roman" w:hAnsi="Times New Roman" w:cs="Times New Roman"/>
          <w:sz w:val="24"/>
          <w:szCs w:val="24"/>
          <w:shd w:val="clear" w:color="auto" w:fill="FFFFFF"/>
          <w:lang w:val="tr-TR" w:eastAsia="ru-RU"/>
        </w:rPr>
        <w:t xml:space="preserve"> </w:t>
      </w:r>
      <w:r w:rsidR="000A05F0" w:rsidRPr="007D507F">
        <w:rPr>
          <w:rFonts w:ascii="Times New Roman" w:eastAsia="Times New Roman" w:hAnsi="Times New Roman" w:cs="Times New Roman"/>
          <w:sz w:val="24"/>
          <w:szCs w:val="24"/>
          <w:shd w:val="clear" w:color="auto" w:fill="FFFFFF"/>
          <w:lang w:val="tr-TR" w:eastAsia="ru-RU"/>
        </w:rPr>
        <w:t>B</w:t>
      </w:r>
      <w:r w:rsidRPr="007D507F">
        <w:rPr>
          <w:rFonts w:ascii="Times New Roman" w:eastAsia="Times New Roman" w:hAnsi="Times New Roman" w:cs="Times New Roman"/>
          <w:sz w:val="24"/>
          <w:szCs w:val="24"/>
          <w:shd w:val="clear" w:color="auto" w:fill="FFFFFF"/>
          <w:lang w:val="tr-TR" w:eastAsia="ru-RU"/>
        </w:rPr>
        <w:t xml:space="preserve">unun nedeni, sağlık sigortası </w:t>
      </w:r>
      <w:r w:rsidR="002126BB" w:rsidRPr="007D507F">
        <w:rPr>
          <w:rFonts w:ascii="Times New Roman" w:eastAsia="Times New Roman" w:hAnsi="Times New Roman" w:cs="Times New Roman"/>
          <w:sz w:val="24"/>
          <w:szCs w:val="24"/>
          <w:shd w:val="clear" w:color="auto" w:fill="FFFFFF"/>
          <w:lang w:val="tr-TR" w:eastAsia="ru-RU"/>
        </w:rPr>
        <w:t xml:space="preserve">olmayan hastaların </w:t>
      </w:r>
      <w:r w:rsidR="000A05F0" w:rsidRPr="007D507F">
        <w:rPr>
          <w:rFonts w:ascii="Times New Roman" w:eastAsia="Times New Roman" w:hAnsi="Times New Roman" w:cs="Times New Roman"/>
          <w:sz w:val="24"/>
          <w:szCs w:val="24"/>
          <w:shd w:val="clear" w:color="auto" w:fill="FFFFFF"/>
          <w:lang w:val="tr-TR" w:eastAsia="ru-RU"/>
        </w:rPr>
        <w:t>Cumhuriyetin</w:t>
      </w:r>
      <w:r w:rsidR="00BB1EC0" w:rsidRPr="007D507F">
        <w:rPr>
          <w:rFonts w:ascii="Times New Roman" w:eastAsia="Times New Roman" w:hAnsi="Times New Roman" w:cs="Times New Roman"/>
          <w:sz w:val="24"/>
          <w:szCs w:val="24"/>
          <w:shd w:val="clear" w:color="auto" w:fill="FFFFFF"/>
          <w:lang w:val="tr-TR" w:eastAsia="ru-RU"/>
        </w:rPr>
        <w:t xml:space="preserve"> </w:t>
      </w:r>
      <w:r w:rsidRPr="007D507F">
        <w:rPr>
          <w:rFonts w:ascii="Times New Roman" w:eastAsia="Times New Roman" w:hAnsi="Times New Roman" w:cs="Times New Roman"/>
          <w:sz w:val="24"/>
          <w:szCs w:val="24"/>
          <w:shd w:val="clear" w:color="auto" w:fill="FFFFFF"/>
          <w:lang w:val="tr-TR" w:eastAsia="ru-RU"/>
        </w:rPr>
        <w:t>başk</w:t>
      </w:r>
      <w:r w:rsidR="000A05F0" w:rsidRPr="007D507F">
        <w:rPr>
          <w:rFonts w:ascii="Times New Roman" w:eastAsia="Times New Roman" w:hAnsi="Times New Roman" w:cs="Times New Roman"/>
          <w:sz w:val="24"/>
          <w:szCs w:val="24"/>
          <w:shd w:val="clear" w:color="auto" w:fill="FFFFFF"/>
          <w:lang w:val="tr-TR" w:eastAsia="ru-RU"/>
        </w:rPr>
        <w:t>entine akın etmesinde görülmektedir.</w:t>
      </w:r>
    </w:p>
    <w:p w14:paraId="2F8906EE" w14:textId="3F429295" w:rsidR="008A5CA3" w:rsidRPr="007D507F" w:rsidRDefault="008A5CA3"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En düşük gösterge, sağlık kurumlarının malzeme ve teknik donanımı açısından geride ka</w:t>
      </w:r>
      <w:r w:rsidR="00BB1EC0" w:rsidRPr="007D507F">
        <w:rPr>
          <w:rFonts w:ascii="Times New Roman" w:eastAsia="Times New Roman" w:hAnsi="Times New Roman" w:cs="Times New Roman"/>
          <w:sz w:val="24"/>
          <w:szCs w:val="24"/>
          <w:shd w:val="clear" w:color="auto" w:fill="FFFFFF"/>
          <w:lang w:val="tr-TR" w:eastAsia="ru-RU"/>
        </w:rPr>
        <w:t xml:space="preserve">lan Batken bölgesinde (1,4 kat) </w:t>
      </w:r>
      <w:r w:rsidRPr="007D507F">
        <w:rPr>
          <w:rFonts w:ascii="Times New Roman" w:eastAsia="Times New Roman" w:hAnsi="Times New Roman" w:cs="Times New Roman"/>
          <w:sz w:val="24"/>
          <w:szCs w:val="24"/>
          <w:shd w:val="clear" w:color="auto" w:fill="FFFFFF"/>
          <w:lang w:val="tr-TR" w:eastAsia="ru-RU"/>
        </w:rPr>
        <w:t>kaydedil</w:t>
      </w:r>
      <w:r w:rsidR="000A05F0" w:rsidRPr="007D507F">
        <w:rPr>
          <w:rFonts w:ascii="Times New Roman" w:eastAsia="Times New Roman" w:hAnsi="Times New Roman" w:cs="Times New Roman"/>
          <w:sz w:val="24"/>
          <w:szCs w:val="24"/>
          <w:shd w:val="clear" w:color="auto" w:fill="FFFFFF"/>
          <w:lang w:val="tr-TR" w:eastAsia="ru-RU"/>
        </w:rPr>
        <w:t>miştir</w:t>
      </w:r>
      <w:r w:rsidRPr="007D507F">
        <w:rPr>
          <w:rFonts w:ascii="Times New Roman" w:eastAsia="Times New Roman" w:hAnsi="Times New Roman" w:cs="Times New Roman"/>
          <w:sz w:val="24"/>
          <w:szCs w:val="24"/>
          <w:shd w:val="clear" w:color="auto" w:fill="FFFFFF"/>
          <w:lang w:val="tr-TR" w:eastAsia="ru-RU"/>
        </w:rPr>
        <w:t>. Bu nedenle bölge sakinleri, tıbbi hizmetlerin sağlanması için d</w:t>
      </w:r>
      <w:r w:rsidR="00A8348E" w:rsidRPr="007D507F">
        <w:rPr>
          <w:rFonts w:ascii="Times New Roman" w:eastAsia="Times New Roman" w:hAnsi="Times New Roman" w:cs="Times New Roman"/>
          <w:sz w:val="24"/>
          <w:szCs w:val="24"/>
          <w:shd w:val="clear" w:color="auto" w:fill="FFFFFF"/>
          <w:lang w:val="tr-TR" w:eastAsia="ru-RU"/>
        </w:rPr>
        <w:t xml:space="preserve">aha ileri teknolojiler sunan Oş şehrinin </w:t>
      </w:r>
      <w:r w:rsidRPr="007D507F">
        <w:rPr>
          <w:rFonts w:ascii="Times New Roman" w:eastAsia="Times New Roman" w:hAnsi="Times New Roman" w:cs="Times New Roman"/>
          <w:sz w:val="24"/>
          <w:szCs w:val="24"/>
          <w:shd w:val="clear" w:color="auto" w:fill="FFFFFF"/>
          <w:lang w:val="tr-TR" w:eastAsia="ru-RU"/>
        </w:rPr>
        <w:t>bölgesel kurumlarında</w:t>
      </w:r>
      <w:r w:rsidR="00CF63C5" w:rsidRPr="007D507F">
        <w:rPr>
          <w:rFonts w:ascii="Times New Roman" w:eastAsia="Times New Roman" w:hAnsi="Times New Roman" w:cs="Times New Roman"/>
          <w:sz w:val="24"/>
          <w:szCs w:val="24"/>
          <w:shd w:val="clear" w:color="auto" w:fill="FFFFFF"/>
          <w:lang w:val="tr-TR" w:eastAsia="ru-RU"/>
        </w:rPr>
        <w:t xml:space="preserve">n </w:t>
      </w:r>
      <w:r w:rsidRPr="007D507F">
        <w:rPr>
          <w:rFonts w:ascii="Times New Roman" w:eastAsia="Times New Roman" w:hAnsi="Times New Roman" w:cs="Times New Roman"/>
          <w:sz w:val="24"/>
          <w:szCs w:val="24"/>
          <w:shd w:val="clear" w:color="auto" w:fill="FFFFFF"/>
          <w:lang w:val="tr-TR" w:eastAsia="ru-RU"/>
        </w:rPr>
        <w:t>tıbbi yardım istemektedir.</w:t>
      </w:r>
    </w:p>
    <w:p w14:paraId="36DBB2D3" w14:textId="67361F19" w:rsidR="008A5CA3" w:rsidRPr="007D507F" w:rsidRDefault="008A5CA3"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2019 yılında bölgelere göre katkı payı fonlarının alınd</w:t>
      </w:r>
      <w:r w:rsidR="00CF63C5" w:rsidRPr="007D507F">
        <w:rPr>
          <w:rFonts w:ascii="Times New Roman" w:eastAsia="Times New Roman" w:hAnsi="Times New Roman" w:cs="Times New Roman"/>
          <w:sz w:val="24"/>
          <w:szCs w:val="24"/>
          <w:shd w:val="clear" w:color="auto" w:fill="FFFFFF"/>
          <w:lang w:val="tr-TR" w:eastAsia="ru-RU"/>
        </w:rPr>
        <w:t>ığı genel gösterge 433,8 milyon Som artış gösteriyor ve 2009’</w:t>
      </w:r>
      <w:r w:rsidR="002126BB" w:rsidRPr="007D507F">
        <w:rPr>
          <w:rFonts w:ascii="Times New Roman" w:eastAsia="Times New Roman" w:hAnsi="Times New Roman" w:cs="Times New Roman"/>
          <w:sz w:val="24"/>
          <w:szCs w:val="24"/>
          <w:shd w:val="clear" w:color="auto" w:fill="FFFFFF"/>
          <w:lang w:val="tr-TR" w:eastAsia="ru-RU"/>
        </w:rPr>
        <w:t xml:space="preserve">da – </w:t>
      </w:r>
      <w:r w:rsidRPr="007D507F">
        <w:rPr>
          <w:rFonts w:ascii="Times New Roman" w:eastAsia="Times New Roman" w:hAnsi="Times New Roman" w:cs="Times New Roman"/>
          <w:sz w:val="24"/>
          <w:szCs w:val="24"/>
          <w:shd w:val="clear" w:color="auto" w:fill="FFFFFF"/>
          <w:lang w:val="tr-TR" w:eastAsia="ru-RU"/>
        </w:rPr>
        <w:t xml:space="preserve">188,5 milyon </w:t>
      </w:r>
      <w:r w:rsidR="00CF63C5" w:rsidRPr="007D507F">
        <w:rPr>
          <w:rFonts w:ascii="Times New Roman" w:eastAsia="Times New Roman" w:hAnsi="Times New Roman" w:cs="Times New Roman"/>
          <w:sz w:val="24"/>
          <w:szCs w:val="24"/>
          <w:shd w:val="clear" w:color="auto" w:fill="FFFFFF"/>
          <w:lang w:val="tr-TR" w:eastAsia="ru-RU"/>
        </w:rPr>
        <w:t>Som’dur</w:t>
      </w:r>
      <w:r w:rsidRPr="007D507F">
        <w:rPr>
          <w:rFonts w:ascii="Times New Roman" w:eastAsia="Times New Roman" w:hAnsi="Times New Roman" w:cs="Times New Roman"/>
          <w:sz w:val="24"/>
          <w:szCs w:val="24"/>
          <w:shd w:val="clear" w:color="auto" w:fill="FFFFFF"/>
          <w:lang w:val="tr-TR" w:eastAsia="ru-RU"/>
        </w:rPr>
        <w:t>. Bu göstergedeki artış, hastaların Bişkek</w:t>
      </w:r>
      <w:r w:rsidR="00CF63C5" w:rsidRPr="007D507F">
        <w:rPr>
          <w:rFonts w:ascii="Times New Roman" w:eastAsia="Times New Roman" w:hAnsi="Times New Roman" w:cs="Times New Roman"/>
          <w:sz w:val="24"/>
          <w:szCs w:val="24"/>
          <w:shd w:val="clear" w:color="auto" w:fill="FFFFFF"/>
          <w:lang w:val="tr-TR" w:eastAsia="ru-RU"/>
        </w:rPr>
        <w:t>’t</w:t>
      </w:r>
      <w:r w:rsidRPr="007D507F">
        <w:rPr>
          <w:rFonts w:ascii="Times New Roman" w:eastAsia="Times New Roman" w:hAnsi="Times New Roman" w:cs="Times New Roman"/>
          <w:sz w:val="24"/>
          <w:szCs w:val="24"/>
          <w:shd w:val="clear" w:color="auto" w:fill="FFFFFF"/>
          <w:lang w:val="tr-TR" w:eastAsia="ru-RU"/>
        </w:rPr>
        <w:t>eki hastanelere ve büyük bölgesel merkezlere akın etmesinden etkilenmiştir.</w:t>
      </w:r>
    </w:p>
    <w:p w14:paraId="256824BE" w14:textId="3E726EAA" w:rsidR="008A5CA3" w:rsidRPr="007D507F" w:rsidRDefault="008A5CA3"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Düşün</w:t>
      </w:r>
      <w:r w:rsidR="00BB1EC0" w:rsidRPr="007D507F">
        <w:rPr>
          <w:rFonts w:ascii="Times New Roman" w:eastAsia="Times New Roman" w:hAnsi="Times New Roman" w:cs="Times New Roman"/>
          <w:sz w:val="24"/>
          <w:szCs w:val="24"/>
          <w:shd w:val="clear" w:color="auto" w:fill="FFFFFF"/>
          <w:lang w:val="tr-TR" w:eastAsia="ru-RU"/>
        </w:rPr>
        <w:t>ülen</w:t>
      </w:r>
      <w:r w:rsidRPr="007D507F">
        <w:rPr>
          <w:rFonts w:ascii="Times New Roman" w:eastAsia="Times New Roman" w:hAnsi="Times New Roman" w:cs="Times New Roman"/>
          <w:color w:val="C00000"/>
          <w:sz w:val="24"/>
          <w:szCs w:val="24"/>
          <w:shd w:val="clear" w:color="auto" w:fill="FFFFFF"/>
          <w:lang w:val="tr-TR" w:eastAsia="ru-RU"/>
        </w:rPr>
        <w:t xml:space="preserve"> </w:t>
      </w:r>
      <w:r w:rsidRPr="007D507F">
        <w:rPr>
          <w:rFonts w:ascii="Times New Roman" w:eastAsia="Times New Roman" w:hAnsi="Times New Roman" w:cs="Times New Roman"/>
          <w:sz w:val="24"/>
          <w:szCs w:val="24"/>
          <w:shd w:val="clear" w:color="auto" w:fill="FFFFFF"/>
          <w:lang w:val="tr-TR" w:eastAsia="ru-RU"/>
        </w:rPr>
        <w:t>ödeme türünün bu kadar önemli bir dezavantajı, hastanın fonlarının aynı hizmet için bir kez değil, birkaç kez harcanması, kimsenin ona tam bir iyileşme garantisi vermemesi olarak belirtil</w:t>
      </w:r>
      <w:r w:rsidR="00E01B8A" w:rsidRPr="007D507F">
        <w:rPr>
          <w:rFonts w:ascii="Times New Roman" w:eastAsia="Times New Roman" w:hAnsi="Times New Roman" w:cs="Times New Roman"/>
          <w:sz w:val="24"/>
          <w:szCs w:val="24"/>
          <w:shd w:val="clear" w:color="auto" w:fill="FFFFFF"/>
          <w:lang w:val="tr-TR" w:eastAsia="ru-RU"/>
        </w:rPr>
        <w:t>mektedir</w:t>
      </w:r>
      <w:r w:rsidRPr="007D507F">
        <w:rPr>
          <w:rFonts w:ascii="Times New Roman" w:eastAsia="Times New Roman" w:hAnsi="Times New Roman" w:cs="Times New Roman"/>
          <w:sz w:val="24"/>
          <w:szCs w:val="24"/>
          <w:shd w:val="clear" w:color="auto" w:fill="FFFFFF"/>
          <w:lang w:val="tr-TR" w:eastAsia="ru-RU"/>
        </w:rPr>
        <w:t>.</w:t>
      </w:r>
    </w:p>
    <w:p w14:paraId="27564991" w14:textId="660D557F" w:rsidR="00E51141" w:rsidRPr="007D507F" w:rsidRDefault="008A5CA3"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Başta yönetim olmak üzere sağlık sisteminin pek çok temsilcisi, hastanın ilaç, tıbbi malzeme ve hedi</w:t>
      </w:r>
      <w:r w:rsidR="000A05F0" w:rsidRPr="007D507F">
        <w:rPr>
          <w:rFonts w:ascii="Times New Roman" w:eastAsia="Times New Roman" w:hAnsi="Times New Roman" w:cs="Times New Roman"/>
          <w:sz w:val="24"/>
          <w:szCs w:val="24"/>
          <w:shd w:val="clear" w:color="auto" w:fill="FFFFFF"/>
          <w:lang w:val="tr-TR" w:eastAsia="ru-RU"/>
        </w:rPr>
        <w:t xml:space="preserve">ye alımı için katkı payını aşan, </w:t>
      </w:r>
      <w:r w:rsidRPr="007D507F">
        <w:rPr>
          <w:rFonts w:ascii="Times New Roman" w:eastAsia="Times New Roman" w:hAnsi="Times New Roman" w:cs="Times New Roman"/>
          <w:sz w:val="24"/>
          <w:szCs w:val="24"/>
          <w:shd w:val="clear" w:color="auto" w:fill="FFFFFF"/>
          <w:lang w:val="tr-TR" w:eastAsia="ru-RU"/>
        </w:rPr>
        <w:t>kendi parasını harcamak z</w:t>
      </w:r>
      <w:r w:rsidR="000A05F0" w:rsidRPr="007D507F">
        <w:rPr>
          <w:rFonts w:ascii="Times New Roman" w:eastAsia="Times New Roman" w:hAnsi="Times New Roman" w:cs="Times New Roman"/>
          <w:sz w:val="24"/>
          <w:szCs w:val="24"/>
          <w:shd w:val="clear" w:color="auto" w:fill="FFFFFF"/>
          <w:lang w:val="tr-TR" w:eastAsia="ru-RU"/>
        </w:rPr>
        <w:t xml:space="preserve">orunda olduğunu savunarak katkı </w:t>
      </w:r>
      <w:r w:rsidR="00BB1EC0" w:rsidRPr="007D507F">
        <w:rPr>
          <w:rFonts w:ascii="Times New Roman" w:eastAsia="Times New Roman" w:hAnsi="Times New Roman" w:cs="Times New Roman"/>
          <w:sz w:val="24"/>
          <w:szCs w:val="24"/>
          <w:shd w:val="clear" w:color="auto" w:fill="FFFFFF"/>
          <w:lang w:val="tr-TR" w:eastAsia="ru-RU"/>
        </w:rPr>
        <w:t xml:space="preserve">payına karşı </w:t>
      </w:r>
      <w:r w:rsidR="00CF63C5" w:rsidRPr="007D507F">
        <w:rPr>
          <w:rFonts w:ascii="Times New Roman" w:eastAsia="Times New Roman" w:hAnsi="Times New Roman" w:cs="Times New Roman"/>
          <w:sz w:val="24"/>
          <w:szCs w:val="24"/>
          <w:shd w:val="clear" w:color="auto" w:fill="FFFFFF"/>
          <w:lang w:val="tr-TR" w:eastAsia="ru-RU"/>
        </w:rPr>
        <w:t>çıkmaktadır.</w:t>
      </w:r>
    </w:p>
    <w:p w14:paraId="34511086" w14:textId="5A6A89B3" w:rsidR="00E51141" w:rsidRDefault="008A5CA3"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r w:rsidRPr="007D507F">
        <w:rPr>
          <w:rFonts w:ascii="Times New Roman" w:eastAsia="Times New Roman" w:hAnsi="Times New Roman" w:cs="Times New Roman"/>
          <w:sz w:val="24"/>
          <w:szCs w:val="24"/>
          <w:shd w:val="clear" w:color="auto" w:fill="FFFFFF"/>
          <w:lang w:val="tr-TR" w:eastAsia="ru-RU"/>
        </w:rPr>
        <w:t xml:space="preserve">Gözlemlerimize göre, sabit katkı paylarının kullanılmasına gerek yoktur. Uygulamada olumlu bir şekilde kendini kanıtlamış olan </w:t>
      </w:r>
      <w:r w:rsidR="00B83152" w:rsidRPr="007D507F">
        <w:rPr>
          <w:rFonts w:ascii="Times New Roman" w:eastAsia="Times New Roman" w:hAnsi="Times New Roman" w:cs="Times New Roman"/>
          <w:sz w:val="24"/>
          <w:szCs w:val="24"/>
          <w:shd w:val="clear" w:color="auto" w:fill="FFFFFF"/>
          <w:lang w:val="tr-TR" w:eastAsia="ru-RU"/>
        </w:rPr>
        <w:t xml:space="preserve">ülke deneyimlerinin örnek alınması daha doğru olacaktır. Bu kapsamda,  deneyimlerinden faydalanılabilecek ve Kırgız Cumhuriyeti’nin olumlu ilişkileri sayesinde, </w:t>
      </w:r>
      <w:r w:rsidRPr="007D507F">
        <w:rPr>
          <w:rFonts w:ascii="Times New Roman" w:eastAsia="Times New Roman" w:hAnsi="Times New Roman" w:cs="Times New Roman"/>
          <w:sz w:val="24"/>
          <w:szCs w:val="24"/>
          <w:shd w:val="clear" w:color="auto" w:fill="FFFFFF"/>
          <w:lang w:val="tr-TR" w:eastAsia="ru-RU"/>
        </w:rPr>
        <w:t>Türk</w:t>
      </w:r>
      <w:r w:rsidR="00370DF9" w:rsidRPr="007D507F">
        <w:rPr>
          <w:rFonts w:ascii="Times New Roman" w:eastAsia="Times New Roman" w:hAnsi="Times New Roman" w:cs="Times New Roman"/>
          <w:sz w:val="24"/>
          <w:szCs w:val="24"/>
          <w:shd w:val="clear" w:color="auto" w:fill="FFFFFF"/>
          <w:lang w:val="tr-TR" w:eastAsia="ru-RU"/>
        </w:rPr>
        <w:t>iye</w:t>
      </w:r>
      <w:r w:rsidR="00B83152" w:rsidRPr="007D507F">
        <w:rPr>
          <w:rFonts w:ascii="Times New Roman" w:eastAsia="Times New Roman" w:hAnsi="Times New Roman" w:cs="Times New Roman"/>
          <w:sz w:val="24"/>
          <w:szCs w:val="24"/>
          <w:shd w:val="clear" w:color="auto" w:fill="FFFFFF"/>
          <w:lang w:val="tr-TR" w:eastAsia="ru-RU"/>
        </w:rPr>
        <w:t>’deki</w:t>
      </w:r>
      <w:r w:rsidR="00370DF9" w:rsidRPr="007D507F">
        <w:rPr>
          <w:rFonts w:ascii="Times New Roman" w:eastAsia="Times New Roman" w:hAnsi="Times New Roman" w:cs="Times New Roman"/>
          <w:sz w:val="24"/>
          <w:szCs w:val="24"/>
          <w:shd w:val="clear" w:color="auto" w:fill="FFFFFF"/>
          <w:lang w:val="tr-TR" w:eastAsia="ru-RU"/>
        </w:rPr>
        <w:t xml:space="preserve"> </w:t>
      </w:r>
      <w:r w:rsidR="00B83152" w:rsidRPr="007D507F">
        <w:rPr>
          <w:rFonts w:ascii="Times New Roman" w:eastAsia="Times New Roman" w:hAnsi="Times New Roman" w:cs="Times New Roman"/>
          <w:sz w:val="24"/>
          <w:szCs w:val="24"/>
          <w:shd w:val="clear" w:color="auto" w:fill="FFFFFF"/>
          <w:lang w:val="tr-TR" w:eastAsia="ru-RU"/>
        </w:rPr>
        <w:t xml:space="preserve">uygulamalardan faydalanmak yerinde </w:t>
      </w:r>
      <w:r w:rsidR="00BB1EC0" w:rsidRPr="007D507F">
        <w:rPr>
          <w:rFonts w:ascii="Times New Roman" w:eastAsia="Times New Roman" w:hAnsi="Times New Roman" w:cs="Times New Roman"/>
          <w:sz w:val="24"/>
          <w:szCs w:val="24"/>
          <w:shd w:val="clear" w:color="auto" w:fill="FFFFFF"/>
          <w:lang w:val="tr-TR" w:eastAsia="ru-RU"/>
        </w:rPr>
        <w:t xml:space="preserve">olabilir. </w:t>
      </w:r>
      <w:r w:rsidRPr="007D507F">
        <w:rPr>
          <w:rFonts w:ascii="Times New Roman" w:eastAsia="Times New Roman" w:hAnsi="Times New Roman" w:cs="Times New Roman"/>
          <w:sz w:val="24"/>
          <w:szCs w:val="24"/>
          <w:shd w:val="clear" w:color="auto" w:fill="FFFFFF"/>
          <w:lang w:val="tr-TR" w:eastAsia="ru-RU"/>
        </w:rPr>
        <w:t xml:space="preserve">Katkı payı farklılaştırılmalı ve ilaç sağlamaya yönelik olmalıdır. Hasta, ilaç bedelinin sadece bir kısmını ödemekle yükümlüdür. </w:t>
      </w:r>
      <w:r w:rsidR="00C1186C" w:rsidRPr="007D507F">
        <w:rPr>
          <w:rFonts w:ascii="Times New Roman" w:eastAsia="Times New Roman" w:hAnsi="Times New Roman" w:cs="Times New Roman"/>
          <w:sz w:val="24"/>
          <w:szCs w:val="24"/>
          <w:shd w:val="clear" w:color="auto" w:fill="FFFFFF"/>
          <w:lang w:val="tr-TR" w:eastAsia="ru-RU"/>
        </w:rPr>
        <w:t>Kırgızistan sağlık sistemi yeniden organize edilirken, h</w:t>
      </w:r>
      <w:r w:rsidRPr="007D507F">
        <w:rPr>
          <w:rFonts w:ascii="Times New Roman" w:eastAsia="Times New Roman" w:hAnsi="Times New Roman" w:cs="Times New Roman"/>
          <w:sz w:val="24"/>
          <w:szCs w:val="24"/>
          <w:shd w:val="clear" w:color="auto" w:fill="FFFFFF"/>
          <w:lang w:val="tr-TR" w:eastAsia="ru-RU"/>
        </w:rPr>
        <w:t>er bir hastayı tedavi etmenin gerçek maliyet</w:t>
      </w:r>
      <w:r w:rsidR="00C1186C" w:rsidRPr="007D507F">
        <w:rPr>
          <w:rFonts w:ascii="Times New Roman" w:eastAsia="Times New Roman" w:hAnsi="Times New Roman" w:cs="Times New Roman"/>
          <w:sz w:val="24"/>
          <w:szCs w:val="24"/>
          <w:shd w:val="clear" w:color="auto" w:fill="FFFFFF"/>
          <w:lang w:val="tr-TR" w:eastAsia="ru-RU"/>
        </w:rPr>
        <w:t xml:space="preserve">i ortaya konulmalı ve bu maliyet dikkate alınmalıdır. Bu şekilde, hasta faydalandığı sistemin, aldığı hizmetin tam olarak resmini </w:t>
      </w:r>
      <w:r w:rsidR="00BB1EC0" w:rsidRPr="007D507F">
        <w:rPr>
          <w:rFonts w:ascii="Times New Roman" w:eastAsia="Times New Roman" w:hAnsi="Times New Roman" w:cs="Times New Roman"/>
          <w:sz w:val="24"/>
          <w:szCs w:val="24"/>
          <w:shd w:val="clear" w:color="auto" w:fill="FFFFFF"/>
          <w:lang w:val="tr-TR" w:eastAsia="ru-RU"/>
        </w:rPr>
        <w:t>görecektir</w:t>
      </w:r>
      <w:r w:rsidR="00C1186C" w:rsidRPr="007D507F">
        <w:rPr>
          <w:rFonts w:ascii="Times New Roman" w:eastAsia="Times New Roman" w:hAnsi="Times New Roman" w:cs="Times New Roman"/>
          <w:sz w:val="24"/>
          <w:szCs w:val="24"/>
          <w:shd w:val="clear" w:color="auto" w:fill="FFFFFF"/>
          <w:lang w:val="tr-TR" w:eastAsia="ru-RU"/>
        </w:rPr>
        <w:t xml:space="preserve"> ve ne için ödeme yaptığını gerçek anlamda bilecektir</w:t>
      </w:r>
      <w:r w:rsidRPr="007D507F">
        <w:rPr>
          <w:rFonts w:ascii="Times New Roman" w:eastAsia="Times New Roman" w:hAnsi="Times New Roman" w:cs="Times New Roman"/>
          <w:sz w:val="24"/>
          <w:szCs w:val="24"/>
          <w:shd w:val="clear" w:color="auto" w:fill="FFFFFF"/>
          <w:lang w:val="tr-TR" w:eastAsia="ru-RU"/>
        </w:rPr>
        <w:t>.</w:t>
      </w:r>
    </w:p>
    <w:p w14:paraId="62E605E3" w14:textId="77777777" w:rsidR="003F6587" w:rsidRDefault="003F6587"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p>
    <w:p w14:paraId="2D7CC316" w14:textId="77777777" w:rsidR="003F6587" w:rsidRPr="007D507F" w:rsidRDefault="003F6587" w:rsidP="007D507F">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tr-TR" w:eastAsia="ru-RU"/>
        </w:rPr>
      </w:pPr>
    </w:p>
    <w:p w14:paraId="35D266A3" w14:textId="44C47F4A" w:rsidR="008A5CA3" w:rsidRPr="007D507F" w:rsidRDefault="007D507F" w:rsidP="007D507F">
      <w:pPr>
        <w:spacing w:after="0" w:line="240" w:lineRule="auto"/>
        <w:ind w:firstLine="397"/>
        <w:jc w:val="both"/>
        <w:rPr>
          <w:rFonts w:ascii="Times New Roman" w:hAnsi="Times New Roman" w:cs="Times New Roman"/>
          <w:b/>
          <w:lang w:val="tr-TR"/>
        </w:rPr>
      </w:pPr>
      <w:r>
        <w:rPr>
          <w:rFonts w:ascii="Times New Roman" w:hAnsi="Times New Roman" w:cs="Times New Roman"/>
          <w:b/>
          <w:lang w:val="tr-TR"/>
        </w:rPr>
        <w:lastRenderedPageBreak/>
        <w:t xml:space="preserve">6. </w:t>
      </w:r>
      <w:r w:rsidR="008A5CA3" w:rsidRPr="007D507F">
        <w:rPr>
          <w:rFonts w:ascii="Times New Roman" w:hAnsi="Times New Roman" w:cs="Times New Roman"/>
          <w:b/>
          <w:lang w:val="tr-TR"/>
        </w:rPr>
        <w:t>Değerlendirme</w:t>
      </w:r>
      <w:r w:rsidR="003A14D9" w:rsidRPr="007D507F">
        <w:rPr>
          <w:rFonts w:ascii="Times New Roman" w:hAnsi="Times New Roman" w:cs="Times New Roman"/>
          <w:b/>
          <w:lang w:val="tr-TR"/>
        </w:rPr>
        <w:t xml:space="preserve"> </w:t>
      </w:r>
      <w:r w:rsidR="00370DF9" w:rsidRPr="007D507F">
        <w:rPr>
          <w:rFonts w:ascii="Times New Roman" w:hAnsi="Times New Roman" w:cs="Times New Roman"/>
          <w:b/>
          <w:lang w:val="tr-TR"/>
        </w:rPr>
        <w:t>ve Sonuç</w:t>
      </w:r>
    </w:p>
    <w:p w14:paraId="63B842D8" w14:textId="77777777" w:rsidR="00283DCA" w:rsidRPr="00445982" w:rsidRDefault="00283DCA" w:rsidP="00283DCA">
      <w:pPr>
        <w:pStyle w:val="a4"/>
        <w:spacing w:after="0" w:line="240" w:lineRule="auto"/>
        <w:ind w:left="757"/>
        <w:jc w:val="both"/>
        <w:rPr>
          <w:rFonts w:ascii="Times New Roman" w:hAnsi="Times New Roman" w:cs="Times New Roman"/>
          <w:b/>
          <w:lang w:val="tr-TR"/>
        </w:rPr>
      </w:pPr>
    </w:p>
    <w:p w14:paraId="2EE94B2F" w14:textId="497BF27D" w:rsidR="00613C61" w:rsidRPr="007D507F" w:rsidRDefault="00613C61" w:rsidP="007D507F">
      <w:pPr>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 xml:space="preserve">Tek ödeme sistemini gerçekleştiren kurumun fon kaynaklarının analizine göre, sağlık sisteminin finansal kaynakları önemli ölçüde artmıştır. Bununla birlikte, </w:t>
      </w:r>
      <w:r w:rsidRPr="007D507F">
        <w:rPr>
          <w:rFonts w:ascii="Times New Roman" w:hAnsi="Times New Roman" w:cs="Times New Roman"/>
          <w:sz w:val="24"/>
          <w:szCs w:val="24"/>
          <w:lang w:val="tr-TR"/>
        </w:rPr>
        <w:t xml:space="preserve">on </w:t>
      </w:r>
      <w:r w:rsidR="00B21894" w:rsidRPr="007D507F">
        <w:rPr>
          <w:rFonts w:ascii="Times New Roman" w:hAnsi="Times New Roman" w:cs="Times New Roman"/>
          <w:sz w:val="24"/>
          <w:szCs w:val="24"/>
          <w:lang w:val="tr-TR"/>
        </w:rPr>
        <w:t xml:space="preserve">yıl </w:t>
      </w:r>
      <w:r w:rsidRPr="007D507F">
        <w:rPr>
          <w:rFonts w:ascii="Times New Roman" w:hAnsi="Times New Roman" w:cs="Times New Roman"/>
          <w:color w:val="000000" w:themeColor="text1"/>
          <w:sz w:val="24"/>
          <w:szCs w:val="24"/>
          <w:lang w:val="tr-TR"/>
        </w:rPr>
        <w:t>boyunca devlet desteğine ihtiyaç duyan çocukların, emeklilerin ve diğer insan kategorilerinin sayısı artmasına rağmen, devlet bütçesinden elde edilen gelirle</w:t>
      </w:r>
      <w:r w:rsidR="00B21894" w:rsidRPr="007D507F">
        <w:rPr>
          <w:rFonts w:ascii="Times New Roman" w:hAnsi="Times New Roman" w:cs="Times New Roman"/>
          <w:color w:val="000000" w:themeColor="text1"/>
          <w:sz w:val="24"/>
          <w:szCs w:val="24"/>
          <w:lang w:val="tr-TR"/>
        </w:rPr>
        <w:t xml:space="preserve">r </w:t>
      </w:r>
      <w:r w:rsidRPr="007D507F">
        <w:rPr>
          <w:rFonts w:ascii="Times New Roman" w:hAnsi="Times New Roman" w:cs="Times New Roman"/>
          <w:color w:val="000000" w:themeColor="text1"/>
          <w:sz w:val="24"/>
          <w:szCs w:val="24"/>
          <w:lang w:val="tr-TR"/>
        </w:rPr>
        <w:t>yalnızca %0,1 artmıştır.</w:t>
      </w:r>
    </w:p>
    <w:p w14:paraId="46F6276F" w14:textId="77777777" w:rsidR="00613C61" w:rsidRPr="007D507F" w:rsidRDefault="00613C61" w:rsidP="007D507F">
      <w:pPr>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Bu, Devlet Garanti Programında beyan edilen nüfusa ücretsiz hizmet ile bunun finansmanı arasında bir tutarsızlığa yol açtmıştır. Bu bağlamda, bütçe fonları pahasına ücretsiz olarak sağlanan tıbbi bakım türlerinin açıkça tanımlanması önerilmektedir.</w:t>
      </w:r>
    </w:p>
    <w:p w14:paraId="6C53B399" w14:textId="0F8ED06B" w:rsidR="00613C61" w:rsidRPr="007D507F" w:rsidRDefault="00613C61" w:rsidP="007D507F">
      <w:pPr>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 xml:space="preserve">Zorunlu </w:t>
      </w:r>
      <w:r w:rsidR="00B21894" w:rsidRPr="007D507F">
        <w:rPr>
          <w:rFonts w:ascii="Times New Roman" w:hAnsi="Times New Roman" w:cs="Times New Roman"/>
          <w:sz w:val="24"/>
          <w:szCs w:val="24"/>
          <w:lang w:val="tr-TR"/>
        </w:rPr>
        <w:t xml:space="preserve">Sağlık Sigortası </w:t>
      </w:r>
      <w:r w:rsidRPr="007D507F">
        <w:rPr>
          <w:rFonts w:ascii="Times New Roman" w:hAnsi="Times New Roman" w:cs="Times New Roman"/>
          <w:color w:val="000000" w:themeColor="text1"/>
          <w:sz w:val="24"/>
          <w:szCs w:val="24"/>
          <w:lang w:val="tr-TR"/>
        </w:rPr>
        <w:t>sisteminde sigortalı olay ve risk gibi k</w:t>
      </w:r>
      <w:r w:rsidR="00BB1EC0" w:rsidRPr="007D507F">
        <w:rPr>
          <w:rFonts w:ascii="Times New Roman" w:hAnsi="Times New Roman" w:cs="Times New Roman"/>
          <w:color w:val="000000" w:themeColor="text1"/>
          <w:sz w:val="24"/>
          <w:szCs w:val="24"/>
          <w:lang w:val="tr-TR"/>
        </w:rPr>
        <w:t>avramlar yoktur. Hastaların %63’</w:t>
      </w:r>
      <w:r w:rsidRPr="007D507F">
        <w:rPr>
          <w:rFonts w:ascii="Times New Roman" w:hAnsi="Times New Roman" w:cs="Times New Roman"/>
          <w:color w:val="000000" w:themeColor="text1"/>
          <w:sz w:val="24"/>
          <w:szCs w:val="24"/>
          <w:lang w:val="tr-TR"/>
        </w:rPr>
        <w:t>ü Devlet Garanti Programı ve Zorunlu Sağlık Sigortası hakkında bilgi sahibi değildir ve verilen hizmet karşılığında resmi olmayan ücret ödemektedirler. Sigortalı için hesapların şeffaflığını ve erişilebilirliğini sağlamak için, zoru</w:t>
      </w:r>
      <w:r w:rsidR="00B21894" w:rsidRPr="007D507F">
        <w:rPr>
          <w:rFonts w:ascii="Times New Roman" w:hAnsi="Times New Roman" w:cs="Times New Roman"/>
          <w:color w:val="000000" w:themeColor="text1"/>
          <w:sz w:val="24"/>
          <w:szCs w:val="24"/>
          <w:lang w:val="tr-TR"/>
        </w:rPr>
        <w:t xml:space="preserve">nlu sağlık sigortası ücretinin, </w:t>
      </w:r>
      <w:r w:rsidRPr="007D507F">
        <w:rPr>
          <w:rFonts w:ascii="Times New Roman" w:hAnsi="Times New Roman" w:cs="Times New Roman"/>
          <w:sz w:val="24"/>
          <w:szCs w:val="24"/>
          <w:lang w:val="tr-TR"/>
        </w:rPr>
        <w:t>kişinin</w:t>
      </w:r>
      <w:r w:rsidR="00B21894" w:rsidRPr="007D507F">
        <w:rPr>
          <w:rFonts w:ascii="Times New Roman" w:hAnsi="Times New Roman" w:cs="Times New Roman"/>
          <w:sz w:val="24"/>
          <w:szCs w:val="24"/>
          <w:lang w:val="tr-TR"/>
        </w:rPr>
        <w:t xml:space="preserve"> </w:t>
      </w:r>
      <w:r w:rsidR="00B32D18" w:rsidRPr="007D507F">
        <w:rPr>
          <w:rFonts w:ascii="Times New Roman" w:hAnsi="Times New Roman" w:cs="Times New Roman"/>
          <w:sz w:val="24"/>
          <w:szCs w:val="24"/>
          <w:lang w:val="tr-TR"/>
        </w:rPr>
        <w:t>çalıştığı</w:t>
      </w:r>
      <w:r w:rsidR="00B21894" w:rsidRPr="007D507F">
        <w:rPr>
          <w:rFonts w:ascii="Times New Roman" w:hAnsi="Times New Roman" w:cs="Times New Roman"/>
          <w:sz w:val="24"/>
          <w:szCs w:val="24"/>
          <w:lang w:val="tr-TR"/>
        </w:rPr>
        <w:t xml:space="preserve"> </w:t>
      </w:r>
      <w:r w:rsidRPr="007D507F">
        <w:rPr>
          <w:rFonts w:ascii="Times New Roman" w:hAnsi="Times New Roman" w:cs="Times New Roman"/>
          <w:sz w:val="24"/>
          <w:szCs w:val="24"/>
          <w:lang w:val="tr-TR"/>
        </w:rPr>
        <w:t xml:space="preserve">faaliyet </w:t>
      </w:r>
      <w:r w:rsidRPr="007D507F">
        <w:rPr>
          <w:rFonts w:ascii="Times New Roman" w:hAnsi="Times New Roman" w:cs="Times New Roman"/>
          <w:color w:val="000000" w:themeColor="text1"/>
          <w:sz w:val="24"/>
          <w:szCs w:val="24"/>
          <w:lang w:val="tr-TR"/>
        </w:rPr>
        <w:t>alanı dikkate alınarak farklılaştırılması önerilir.</w:t>
      </w:r>
    </w:p>
    <w:p w14:paraId="621DF276" w14:textId="3C92CAA2" w:rsidR="00613C61" w:rsidRPr="007D507F" w:rsidRDefault="00613C61" w:rsidP="007D507F">
      <w:pPr>
        <w:spacing w:after="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 xml:space="preserve">Temel zorunlu sağlık sigortası programı, ücretsiz tedaviye ihtiyaç duyan vatandaş kategorilerinin asgari ihtiyaçlarının yalnızca yarısını sağladığından, sağlıklarını korumak için kişisel fonlarını harcamak </w:t>
      </w:r>
      <w:r w:rsidRPr="007D507F">
        <w:rPr>
          <w:rFonts w:ascii="Times New Roman" w:hAnsi="Times New Roman" w:cs="Times New Roman"/>
          <w:sz w:val="24"/>
          <w:szCs w:val="24"/>
          <w:lang w:val="tr-TR"/>
        </w:rPr>
        <w:t xml:space="preserve">zorunda </w:t>
      </w:r>
      <w:r w:rsidR="00B32D18" w:rsidRPr="007D507F">
        <w:rPr>
          <w:rFonts w:ascii="Times New Roman" w:hAnsi="Times New Roman" w:cs="Times New Roman"/>
          <w:sz w:val="24"/>
          <w:szCs w:val="24"/>
          <w:lang w:val="tr-TR"/>
        </w:rPr>
        <w:t>kalmaktadırlar</w:t>
      </w:r>
      <w:r w:rsidRPr="007D507F">
        <w:rPr>
          <w:rFonts w:ascii="Times New Roman" w:hAnsi="Times New Roman" w:cs="Times New Roman"/>
          <w:sz w:val="24"/>
          <w:szCs w:val="24"/>
          <w:lang w:val="tr-TR"/>
        </w:rPr>
        <w:t>. Ancak</w:t>
      </w:r>
      <w:r w:rsidRPr="007D507F">
        <w:rPr>
          <w:rFonts w:ascii="Times New Roman" w:hAnsi="Times New Roman" w:cs="Times New Roman"/>
          <w:color w:val="000000" w:themeColor="text1"/>
          <w:sz w:val="24"/>
          <w:szCs w:val="24"/>
          <w:lang w:val="tr-TR"/>
        </w:rPr>
        <w:t xml:space="preserve">, ücretsiz tıbbi hizmetlerin ücretli olanlarla değiştirilmesi kendiliğinden ve sistematik değildir. Tıbbi personele gayri resmi bir nakit ödeme kanalı rüşvet olarak kabul edilemez. </w:t>
      </w:r>
      <w:r w:rsidRPr="007D507F">
        <w:rPr>
          <w:rFonts w:ascii="Times New Roman" w:hAnsi="Times New Roman" w:cs="Times New Roman"/>
          <w:sz w:val="24"/>
          <w:szCs w:val="24"/>
          <w:lang w:val="tr-TR"/>
        </w:rPr>
        <w:t xml:space="preserve">Özünde bunlar, hizmetin piyasa fiyatını tamamlayan </w:t>
      </w:r>
      <w:r w:rsidR="00215A31" w:rsidRPr="007D507F">
        <w:rPr>
          <w:rFonts w:ascii="Times New Roman" w:hAnsi="Times New Roman" w:cs="Times New Roman"/>
          <w:sz w:val="24"/>
          <w:szCs w:val="24"/>
          <w:lang w:val="tr-TR"/>
        </w:rPr>
        <w:t>unsurlar</w:t>
      </w:r>
      <w:r w:rsidRPr="007D507F">
        <w:rPr>
          <w:rFonts w:ascii="Times New Roman" w:hAnsi="Times New Roman" w:cs="Times New Roman"/>
          <w:sz w:val="24"/>
          <w:szCs w:val="24"/>
          <w:lang w:val="tr-TR"/>
        </w:rPr>
        <w:t>dır</w:t>
      </w:r>
      <w:r w:rsidRPr="007D507F">
        <w:rPr>
          <w:rFonts w:ascii="Times New Roman" w:hAnsi="Times New Roman" w:cs="Times New Roman"/>
          <w:color w:val="000000" w:themeColor="text1"/>
          <w:sz w:val="24"/>
          <w:szCs w:val="24"/>
          <w:lang w:val="tr-TR"/>
        </w:rPr>
        <w:t>. Bu bağlamda, gay</w:t>
      </w:r>
      <w:r w:rsidR="00DE183A" w:rsidRPr="007D507F">
        <w:rPr>
          <w:rFonts w:ascii="Times New Roman" w:hAnsi="Times New Roman" w:cs="Times New Roman"/>
          <w:color w:val="000000" w:themeColor="text1"/>
          <w:sz w:val="24"/>
          <w:szCs w:val="24"/>
          <w:lang w:val="tr-TR"/>
        </w:rPr>
        <w:t>ri resmi</w:t>
      </w:r>
      <w:r w:rsidR="00215A31" w:rsidRPr="007D507F">
        <w:rPr>
          <w:rFonts w:ascii="Times New Roman" w:hAnsi="Times New Roman" w:cs="Times New Roman"/>
          <w:color w:val="000000" w:themeColor="text1"/>
          <w:sz w:val="24"/>
          <w:szCs w:val="24"/>
          <w:lang w:val="tr-TR"/>
        </w:rPr>
        <w:t xml:space="preserve"> olarak alınan fonların </w:t>
      </w:r>
      <w:r w:rsidRPr="007D507F">
        <w:rPr>
          <w:rFonts w:ascii="Times New Roman" w:hAnsi="Times New Roman" w:cs="Times New Roman"/>
          <w:color w:val="000000" w:themeColor="text1"/>
          <w:sz w:val="24"/>
          <w:szCs w:val="24"/>
          <w:lang w:val="tr-TR"/>
        </w:rPr>
        <w:t>yasallaştırılması önerilmektedir. Yasallaştırılması ve düzenlenmesi için bir mekanizma geliştirmek gereklidir.</w:t>
      </w:r>
    </w:p>
    <w:p w14:paraId="31EB78B4" w14:textId="77777777" w:rsidR="00613C61" w:rsidRPr="007D507F" w:rsidRDefault="00613C61" w:rsidP="007D507F">
      <w:pPr>
        <w:spacing w:after="120" w:line="240" w:lineRule="auto"/>
        <w:ind w:firstLine="567"/>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Çalışma, sabit ortak ödemeler yerine, ilaç sağlamayı amaçlayan farklılaştırılmış bir ek ödeme getirmeyi önermektedir. Hasta, ilaç bedelinin sadece bir kısmını ödemekle yükümlüdür. Her bir hastayı tedavi etmenin gerçek maliyetleri dikkate alınmalıdır.</w:t>
      </w:r>
    </w:p>
    <w:p w14:paraId="464B2983" w14:textId="0FCA29BD" w:rsidR="00BB1EC0" w:rsidRPr="007D507F" w:rsidRDefault="0041007D" w:rsidP="005E4A12">
      <w:pPr>
        <w:spacing w:after="120" w:line="240" w:lineRule="auto"/>
        <w:ind w:left="142" w:firstLine="425"/>
        <w:jc w:val="both"/>
        <w:rPr>
          <w:rFonts w:ascii="Times New Roman" w:hAnsi="Times New Roman" w:cs="Times New Roman"/>
          <w:b/>
          <w:sz w:val="24"/>
          <w:szCs w:val="24"/>
          <w:lang w:val="tr-TR"/>
        </w:rPr>
      </w:pPr>
      <w:r w:rsidRPr="007D507F">
        <w:rPr>
          <w:rFonts w:ascii="Times New Roman" w:hAnsi="Times New Roman" w:cs="Times New Roman"/>
          <w:b/>
          <w:sz w:val="24"/>
          <w:szCs w:val="24"/>
          <w:lang w:val="tr-TR"/>
        </w:rPr>
        <w:t>Öneriler</w:t>
      </w:r>
      <w:r w:rsidR="00BB1EC0" w:rsidRPr="007D507F">
        <w:rPr>
          <w:rFonts w:ascii="Times New Roman" w:hAnsi="Times New Roman" w:cs="Times New Roman"/>
          <w:b/>
          <w:sz w:val="24"/>
          <w:szCs w:val="24"/>
          <w:lang w:val="tr-TR"/>
        </w:rPr>
        <w:t>;</w:t>
      </w:r>
    </w:p>
    <w:p w14:paraId="235ADDDC" w14:textId="77777777" w:rsidR="00FF34F6" w:rsidRDefault="003B62CC" w:rsidP="00FF34F6">
      <w:pPr>
        <w:pStyle w:val="a4"/>
        <w:numPr>
          <w:ilvl w:val="0"/>
          <w:numId w:val="12"/>
        </w:numPr>
        <w:spacing w:line="240" w:lineRule="auto"/>
        <w:ind w:left="567" w:hanging="283"/>
        <w:jc w:val="both"/>
        <w:rPr>
          <w:rFonts w:ascii="Times New Roman" w:hAnsi="Times New Roman" w:cs="Times New Roman"/>
          <w:color w:val="000000" w:themeColor="text1"/>
          <w:sz w:val="24"/>
          <w:szCs w:val="24"/>
          <w:lang w:val="tr-TR"/>
        </w:rPr>
      </w:pPr>
      <w:r w:rsidRPr="007D507F">
        <w:rPr>
          <w:rFonts w:ascii="Times New Roman" w:hAnsi="Times New Roman" w:cs="Times New Roman"/>
          <w:color w:val="000000" w:themeColor="text1"/>
          <w:sz w:val="24"/>
          <w:szCs w:val="24"/>
          <w:lang w:val="tr-TR"/>
        </w:rPr>
        <w:t xml:space="preserve">Emekliler ve 16 </w:t>
      </w:r>
      <w:r w:rsidRPr="007D507F">
        <w:rPr>
          <w:rFonts w:ascii="Times New Roman" w:hAnsi="Times New Roman" w:cs="Times New Roman"/>
          <w:sz w:val="24"/>
          <w:szCs w:val="24"/>
          <w:lang w:val="tr-TR"/>
        </w:rPr>
        <w:t>yaş altı</w:t>
      </w:r>
      <w:r w:rsidR="00613C61" w:rsidRPr="007D507F">
        <w:rPr>
          <w:rFonts w:ascii="Times New Roman" w:hAnsi="Times New Roman" w:cs="Times New Roman"/>
          <w:sz w:val="24"/>
          <w:szCs w:val="24"/>
          <w:lang w:val="tr-TR"/>
        </w:rPr>
        <w:t xml:space="preserve"> </w:t>
      </w:r>
      <w:r w:rsidR="00613C61" w:rsidRPr="007D507F">
        <w:rPr>
          <w:rFonts w:ascii="Times New Roman" w:hAnsi="Times New Roman" w:cs="Times New Roman"/>
          <w:color w:val="000000" w:themeColor="text1"/>
          <w:sz w:val="24"/>
          <w:szCs w:val="24"/>
          <w:lang w:val="tr-TR"/>
        </w:rPr>
        <w:t xml:space="preserve">çocuklar gibi vatandaş kategorilerinin sağlığını iyileştirmek için tahsis edilen </w:t>
      </w:r>
      <w:r w:rsidR="003A14D9" w:rsidRPr="007D507F">
        <w:rPr>
          <w:rFonts w:ascii="Times New Roman" w:hAnsi="Times New Roman" w:cs="Times New Roman"/>
          <w:color w:val="000000" w:themeColor="text1"/>
          <w:sz w:val="24"/>
          <w:szCs w:val="24"/>
          <w:lang w:val="tr-TR"/>
        </w:rPr>
        <w:t>devlet</w:t>
      </w:r>
      <w:r w:rsidR="00613C61" w:rsidRPr="007D507F">
        <w:rPr>
          <w:rFonts w:ascii="Times New Roman" w:hAnsi="Times New Roman" w:cs="Times New Roman"/>
          <w:color w:val="000000" w:themeColor="text1"/>
          <w:sz w:val="24"/>
          <w:szCs w:val="24"/>
          <w:lang w:val="tr-TR"/>
        </w:rPr>
        <w:t xml:space="preserve"> bütçesinden fon miktarının artırılması önerilmektedir.</w:t>
      </w:r>
    </w:p>
    <w:p w14:paraId="506BF15B" w14:textId="6FFDF991" w:rsidR="00613C61" w:rsidRDefault="00613C61" w:rsidP="00FF34F6">
      <w:pPr>
        <w:pStyle w:val="a4"/>
        <w:numPr>
          <w:ilvl w:val="0"/>
          <w:numId w:val="12"/>
        </w:numPr>
        <w:spacing w:line="240" w:lineRule="auto"/>
        <w:ind w:left="567" w:hanging="283"/>
        <w:jc w:val="both"/>
        <w:rPr>
          <w:rFonts w:ascii="Times New Roman" w:hAnsi="Times New Roman" w:cs="Times New Roman"/>
          <w:color w:val="000000" w:themeColor="text1"/>
          <w:sz w:val="24"/>
          <w:szCs w:val="24"/>
          <w:lang w:val="tr-TR"/>
        </w:rPr>
      </w:pPr>
      <w:r w:rsidRPr="00FF34F6">
        <w:rPr>
          <w:rFonts w:ascii="Times New Roman" w:hAnsi="Times New Roman" w:cs="Times New Roman"/>
          <w:color w:val="000000" w:themeColor="text1"/>
          <w:sz w:val="24"/>
          <w:szCs w:val="24"/>
          <w:lang w:val="tr-TR"/>
        </w:rPr>
        <w:t xml:space="preserve">Ticari yapı çalışanlarının zorunlu sağlık sigortası sistemine dahil edilmesine karar verirken, bu eylemdeki kişisel çıkarlarının dikkate alınması önerilir. </w:t>
      </w:r>
      <w:r w:rsidR="00B34795" w:rsidRPr="00FF34F6">
        <w:rPr>
          <w:rFonts w:ascii="Times New Roman" w:hAnsi="Times New Roman" w:cs="Times New Roman"/>
          <w:color w:val="000000" w:themeColor="text1"/>
          <w:sz w:val="24"/>
          <w:szCs w:val="24"/>
          <w:lang w:val="tr-TR"/>
        </w:rPr>
        <w:t>ZSS</w:t>
      </w:r>
      <w:r w:rsidRPr="00FF34F6">
        <w:rPr>
          <w:rFonts w:ascii="Times New Roman" w:hAnsi="Times New Roman" w:cs="Times New Roman"/>
          <w:color w:val="000000" w:themeColor="text1"/>
          <w:sz w:val="24"/>
          <w:szCs w:val="24"/>
          <w:lang w:val="tr-TR"/>
        </w:rPr>
        <w:t xml:space="preserve"> fonlarının mu</w:t>
      </w:r>
      <w:r w:rsidR="00B34795" w:rsidRPr="00FF34F6">
        <w:rPr>
          <w:rFonts w:ascii="Times New Roman" w:hAnsi="Times New Roman" w:cs="Times New Roman"/>
          <w:color w:val="000000" w:themeColor="text1"/>
          <w:sz w:val="24"/>
          <w:szCs w:val="24"/>
          <w:lang w:val="tr-TR"/>
        </w:rPr>
        <w:t xml:space="preserve">hasebesinin kişiselleştirilmesi </w:t>
      </w:r>
      <w:r w:rsidRPr="00FF34F6">
        <w:rPr>
          <w:rFonts w:ascii="Times New Roman" w:hAnsi="Times New Roman" w:cs="Times New Roman"/>
          <w:color w:val="000000" w:themeColor="text1"/>
          <w:sz w:val="24"/>
          <w:szCs w:val="24"/>
          <w:lang w:val="tr-TR"/>
        </w:rPr>
        <w:t>önerilmektedir.</w:t>
      </w:r>
    </w:p>
    <w:p w14:paraId="581714FC" w14:textId="77777777" w:rsidR="00613C61" w:rsidRDefault="00613C61" w:rsidP="00FF34F6">
      <w:pPr>
        <w:pStyle w:val="a4"/>
        <w:numPr>
          <w:ilvl w:val="0"/>
          <w:numId w:val="12"/>
        </w:numPr>
        <w:spacing w:line="240" w:lineRule="auto"/>
        <w:ind w:left="567" w:hanging="283"/>
        <w:jc w:val="both"/>
        <w:rPr>
          <w:rFonts w:ascii="Times New Roman" w:hAnsi="Times New Roman" w:cs="Times New Roman"/>
          <w:color w:val="000000" w:themeColor="text1"/>
          <w:sz w:val="24"/>
          <w:szCs w:val="24"/>
          <w:lang w:val="tr-TR"/>
        </w:rPr>
      </w:pPr>
      <w:r w:rsidRPr="00FF34F6">
        <w:rPr>
          <w:rFonts w:ascii="Times New Roman" w:hAnsi="Times New Roman" w:cs="Times New Roman"/>
          <w:color w:val="000000" w:themeColor="text1"/>
          <w:sz w:val="24"/>
          <w:szCs w:val="24"/>
          <w:lang w:val="tr-TR"/>
        </w:rPr>
        <w:t>Mevcut sigorta sisteminin eksiklikleri göz önüne alındığında, onu iyileştirmek için faaliyet türü, yaş kategorisi, sosyal statü, erişilebilirlik ve şeffaflık dikkate alınarak vatandaşlara farklılaştırılmış bir yaklaşım sağlanması önerilir.</w:t>
      </w:r>
    </w:p>
    <w:p w14:paraId="088CFB17" w14:textId="77777777" w:rsidR="00613C61" w:rsidRDefault="00613C61" w:rsidP="00FF34F6">
      <w:pPr>
        <w:pStyle w:val="a4"/>
        <w:numPr>
          <w:ilvl w:val="0"/>
          <w:numId w:val="12"/>
        </w:numPr>
        <w:spacing w:line="240" w:lineRule="auto"/>
        <w:ind w:left="567" w:hanging="283"/>
        <w:jc w:val="both"/>
        <w:rPr>
          <w:rFonts w:ascii="Times New Roman" w:hAnsi="Times New Roman" w:cs="Times New Roman"/>
          <w:color w:val="000000" w:themeColor="text1"/>
          <w:sz w:val="24"/>
          <w:szCs w:val="24"/>
          <w:lang w:val="tr-TR"/>
        </w:rPr>
      </w:pPr>
      <w:r w:rsidRPr="00FF34F6">
        <w:rPr>
          <w:rFonts w:ascii="Times New Roman" w:hAnsi="Times New Roman" w:cs="Times New Roman"/>
          <w:color w:val="000000" w:themeColor="text1"/>
          <w:sz w:val="24"/>
          <w:szCs w:val="24"/>
          <w:lang w:val="tr-TR"/>
        </w:rPr>
        <w:t>Fonların gayri resmi kanallardan alınması, bir piyasa düzenleme mekanizması tarafınd</w:t>
      </w:r>
      <w:r w:rsidR="00B34795" w:rsidRPr="00FF34F6">
        <w:rPr>
          <w:rFonts w:ascii="Times New Roman" w:hAnsi="Times New Roman" w:cs="Times New Roman"/>
          <w:color w:val="000000" w:themeColor="text1"/>
          <w:sz w:val="24"/>
          <w:szCs w:val="24"/>
          <w:lang w:val="tr-TR"/>
        </w:rPr>
        <w:t xml:space="preserve">an güvence altına alınmamıştır. </w:t>
      </w:r>
      <w:r w:rsidRPr="00FF34F6">
        <w:rPr>
          <w:rFonts w:ascii="Times New Roman" w:hAnsi="Times New Roman" w:cs="Times New Roman"/>
          <w:color w:val="000000" w:themeColor="text1"/>
          <w:sz w:val="24"/>
          <w:szCs w:val="24"/>
          <w:lang w:val="tr-TR"/>
        </w:rPr>
        <w:t>Ek ödemeler olarak sınıflandırılabilecek fonların yasallaştırılması, görünür ve ayarlanabilir hale getirilmesi önerilir.</w:t>
      </w:r>
    </w:p>
    <w:p w14:paraId="23895848" w14:textId="26BF70C7" w:rsidR="00613C61" w:rsidRDefault="00613C61" w:rsidP="00FF34F6">
      <w:pPr>
        <w:pStyle w:val="a4"/>
        <w:numPr>
          <w:ilvl w:val="0"/>
          <w:numId w:val="12"/>
        </w:numPr>
        <w:spacing w:line="240" w:lineRule="auto"/>
        <w:ind w:left="567" w:hanging="283"/>
        <w:jc w:val="both"/>
        <w:rPr>
          <w:rFonts w:ascii="Times New Roman" w:hAnsi="Times New Roman" w:cs="Times New Roman"/>
          <w:color w:val="000000" w:themeColor="text1"/>
          <w:sz w:val="24"/>
          <w:szCs w:val="24"/>
          <w:lang w:val="tr-TR"/>
        </w:rPr>
      </w:pPr>
      <w:r w:rsidRPr="00FF34F6">
        <w:rPr>
          <w:rFonts w:ascii="Times New Roman" w:hAnsi="Times New Roman" w:cs="Times New Roman"/>
          <w:color w:val="000000" w:themeColor="text1"/>
          <w:sz w:val="24"/>
          <w:szCs w:val="24"/>
          <w:lang w:val="tr-TR"/>
        </w:rPr>
        <w:t xml:space="preserve">Ücretli hizmetlerden elde edilen fonlar pahasına, bir </w:t>
      </w:r>
      <w:r w:rsidR="00DE183A" w:rsidRPr="00FF34F6">
        <w:rPr>
          <w:rFonts w:ascii="Times New Roman" w:hAnsi="Times New Roman" w:cs="Times New Roman"/>
          <w:color w:val="000000" w:themeColor="text1"/>
          <w:sz w:val="24"/>
          <w:szCs w:val="24"/>
          <w:lang w:val="tr-TR"/>
        </w:rPr>
        <w:t xml:space="preserve">poliklinik veya hastane için </w:t>
      </w:r>
      <w:r w:rsidRPr="00FF34F6">
        <w:rPr>
          <w:rFonts w:ascii="Times New Roman" w:hAnsi="Times New Roman" w:cs="Times New Roman"/>
          <w:color w:val="000000" w:themeColor="text1"/>
          <w:sz w:val="24"/>
          <w:szCs w:val="24"/>
          <w:lang w:val="tr-TR"/>
        </w:rPr>
        <w:t>fon oluşturulması ve öncelikle çalışanların ücretlerini artırmak için kullanılması önerilmektedir.</w:t>
      </w:r>
    </w:p>
    <w:p w14:paraId="670C7B1A" w14:textId="200B038B" w:rsidR="009C2113" w:rsidRPr="00FF34F6" w:rsidRDefault="00613C61" w:rsidP="00FF34F6">
      <w:pPr>
        <w:pStyle w:val="a4"/>
        <w:numPr>
          <w:ilvl w:val="0"/>
          <w:numId w:val="12"/>
        </w:numPr>
        <w:spacing w:line="240" w:lineRule="auto"/>
        <w:ind w:left="567" w:hanging="283"/>
        <w:jc w:val="both"/>
        <w:rPr>
          <w:rFonts w:ascii="Times New Roman" w:hAnsi="Times New Roman" w:cs="Times New Roman"/>
          <w:color w:val="000000" w:themeColor="text1"/>
          <w:sz w:val="24"/>
          <w:szCs w:val="24"/>
          <w:lang w:val="tr-TR"/>
        </w:rPr>
      </w:pPr>
      <w:r w:rsidRPr="00FF34F6">
        <w:rPr>
          <w:rFonts w:ascii="Times New Roman" w:hAnsi="Times New Roman" w:cs="Times New Roman"/>
          <w:color w:val="000000" w:themeColor="text1"/>
          <w:sz w:val="24"/>
          <w:szCs w:val="24"/>
          <w:lang w:val="tr-TR"/>
        </w:rPr>
        <w:t>Sabit katkı payları yerine, ilaç bedelinin hasta için farklılaştırılmış</w:t>
      </w:r>
      <w:r w:rsidR="0041007D" w:rsidRPr="00FF34F6">
        <w:rPr>
          <w:rFonts w:ascii="Times New Roman" w:hAnsi="Times New Roman" w:cs="Times New Roman"/>
          <w:color w:val="000000" w:themeColor="text1"/>
          <w:sz w:val="24"/>
          <w:szCs w:val="24"/>
          <w:lang w:val="tr-TR"/>
        </w:rPr>
        <w:t xml:space="preserve"> katkı payına geçilmesi önerilmektedir</w:t>
      </w:r>
      <w:r w:rsidRPr="00FF34F6">
        <w:rPr>
          <w:rFonts w:ascii="Times New Roman" w:hAnsi="Times New Roman" w:cs="Times New Roman"/>
          <w:color w:val="000000" w:themeColor="text1"/>
          <w:sz w:val="24"/>
          <w:szCs w:val="24"/>
          <w:lang w:val="tr-TR"/>
        </w:rPr>
        <w:t>.</w:t>
      </w:r>
    </w:p>
    <w:p w14:paraId="263D5541" w14:textId="77777777" w:rsidR="00DE183A" w:rsidRPr="00445982" w:rsidRDefault="00DE183A" w:rsidP="00DE183A">
      <w:pPr>
        <w:pStyle w:val="a4"/>
        <w:spacing w:after="0"/>
        <w:jc w:val="both"/>
        <w:rPr>
          <w:rFonts w:ascii="Times New Roman" w:hAnsi="Times New Roman" w:cs="Times New Roman"/>
          <w:color w:val="000000" w:themeColor="text1"/>
          <w:lang w:val="tr-TR"/>
        </w:rPr>
      </w:pPr>
    </w:p>
    <w:p w14:paraId="129AF692" w14:textId="77777777" w:rsidR="00B23261" w:rsidRPr="00445982" w:rsidRDefault="00B23261" w:rsidP="00283DCA">
      <w:pPr>
        <w:spacing w:after="0"/>
        <w:ind w:firstLine="567"/>
        <w:rPr>
          <w:rFonts w:ascii="Times New Roman" w:hAnsi="Times New Roman" w:cs="Times New Roman"/>
          <w:b/>
          <w:sz w:val="24"/>
          <w:szCs w:val="24"/>
          <w:lang w:val="tr-TR"/>
        </w:rPr>
      </w:pPr>
      <w:r w:rsidRPr="00445982">
        <w:rPr>
          <w:rFonts w:ascii="Times New Roman" w:hAnsi="Times New Roman" w:cs="Times New Roman"/>
          <w:b/>
          <w:sz w:val="24"/>
          <w:szCs w:val="24"/>
          <w:lang w:val="tr-TR"/>
        </w:rPr>
        <w:t>KAYNAKÇA</w:t>
      </w:r>
    </w:p>
    <w:p w14:paraId="4BF8CA09" w14:textId="1E8FBA1C" w:rsidR="00EE1612" w:rsidRPr="00EE1612" w:rsidRDefault="00EE1612" w:rsidP="00EE161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sz w:val="24"/>
          <w:szCs w:val="24"/>
          <w:lang w:val="en-US" w:eastAsia="ru-RU"/>
        </w:rPr>
      </w:pPr>
      <w:r>
        <w:rPr>
          <w:sz w:val="23"/>
          <w:szCs w:val="23"/>
          <w:shd w:val="clear" w:color="auto" w:fill="FFFFFF"/>
          <w:lang w:val="en-US"/>
        </w:rPr>
        <w:tab/>
      </w:r>
      <w:r w:rsidRPr="00EE1612">
        <w:rPr>
          <w:rFonts w:ascii="Times New Roman" w:eastAsia="Times New Roman" w:hAnsi="Times New Roman" w:cs="Times New Roman"/>
          <w:sz w:val="24"/>
          <w:szCs w:val="24"/>
          <w:lang w:val="en-US" w:eastAsia="ru-RU"/>
        </w:rPr>
        <w:t>Asanaliyeva</w:t>
      </w:r>
      <w:r w:rsidR="00D646E0">
        <w:rPr>
          <w:rFonts w:ascii="Times New Roman" w:eastAsia="Times New Roman" w:hAnsi="Times New Roman" w:cs="Times New Roman"/>
          <w:sz w:val="24"/>
          <w:szCs w:val="24"/>
          <w:lang w:val="en-US" w:eastAsia="ru-RU"/>
        </w:rPr>
        <w:t xml:space="preserve"> </w:t>
      </w:r>
      <w:r w:rsidRPr="00EE1612">
        <w:rPr>
          <w:rFonts w:ascii="Times New Roman" w:eastAsia="Times New Roman" w:hAnsi="Times New Roman" w:cs="Times New Roman"/>
          <w:sz w:val="24"/>
          <w:szCs w:val="24"/>
          <w:lang w:val="en-US" w:eastAsia="ru-RU"/>
        </w:rPr>
        <w:t>G.T. Osobennosti sistemy predostavleniya sotsial'nykh uslug v u</w:t>
      </w:r>
      <w:r>
        <w:rPr>
          <w:rFonts w:ascii="Times New Roman" w:eastAsia="Times New Roman" w:hAnsi="Times New Roman" w:cs="Times New Roman"/>
          <w:sz w:val="24"/>
          <w:szCs w:val="24"/>
          <w:lang w:val="en-US" w:eastAsia="ru-RU"/>
        </w:rPr>
        <w:t xml:space="preserve">sloviyakh perekhodnoy ekonomiki/Vestnik KRSU T.8. - </w:t>
      </w:r>
      <w:r w:rsidRPr="00EE1612">
        <w:rPr>
          <w:rFonts w:ascii="Times New Roman" w:eastAsia="Times New Roman" w:hAnsi="Times New Roman" w:cs="Times New Roman"/>
          <w:sz w:val="24"/>
          <w:szCs w:val="24"/>
          <w:lang w:val="en-US" w:eastAsia="ru-RU"/>
        </w:rPr>
        <w:t>2008</w:t>
      </w:r>
      <w:r>
        <w:rPr>
          <w:rFonts w:ascii="Times New Roman" w:eastAsia="Times New Roman" w:hAnsi="Times New Roman" w:cs="Times New Roman"/>
          <w:sz w:val="24"/>
          <w:szCs w:val="24"/>
          <w:lang w:val="en-US" w:eastAsia="ru-RU"/>
        </w:rPr>
        <w:t xml:space="preserve"> </w:t>
      </w:r>
      <w:r w:rsidRPr="00EE1612">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EE1612">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 xml:space="preserve"> </w:t>
      </w:r>
      <w:r w:rsidRPr="00EE1612">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S. 46-49. </w:t>
      </w:r>
      <w:hyperlink r:id="rId11" w:history="1">
        <w:r w:rsidRPr="00EE1612">
          <w:rPr>
            <w:rStyle w:val="a6"/>
            <w:rFonts w:ascii="Times New Roman" w:eastAsia="Times New Roman" w:hAnsi="Times New Roman" w:cs="Times New Roman"/>
            <w:color w:val="auto"/>
            <w:sz w:val="24"/>
            <w:szCs w:val="24"/>
            <w:u w:val="none"/>
            <w:lang w:val="en-US" w:eastAsia="ru-RU"/>
          </w:rPr>
          <w:t>http://vestnik.krsu.edu.kg/</w:t>
        </w:r>
      </w:hyperlink>
      <w:r w:rsidRPr="00EE1612">
        <w:rPr>
          <w:rFonts w:ascii="Times New Roman" w:eastAsia="Times New Roman" w:hAnsi="Times New Roman" w:cs="Times New Roman"/>
          <w:sz w:val="24"/>
          <w:szCs w:val="24"/>
          <w:lang w:val="en-US" w:eastAsia="ru-RU"/>
        </w:rPr>
        <w:t xml:space="preserve"> archive/131/5732 </w:t>
      </w:r>
    </w:p>
    <w:p w14:paraId="226B8813" w14:textId="77777777" w:rsidR="00EE1612" w:rsidRPr="00EE1612" w:rsidRDefault="00EE1612" w:rsidP="00EE161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sz w:val="24"/>
          <w:szCs w:val="24"/>
          <w:lang w:val="en-US" w:eastAsia="ru-RU"/>
        </w:rPr>
      </w:pPr>
      <w:r w:rsidRPr="00EE1612">
        <w:rPr>
          <w:rFonts w:ascii="Times New Roman" w:eastAsia="Times New Roman" w:hAnsi="Times New Roman" w:cs="Times New Roman"/>
          <w:sz w:val="24"/>
          <w:szCs w:val="24"/>
          <w:lang w:val="en-US" w:eastAsia="ru-RU"/>
        </w:rPr>
        <w:tab/>
        <w:t xml:space="preserve">Asizbayev Rustam Emilzhanovich. Regulirovaniye razvitiya sotsial'noy sfery na osnove indikativnogo planirovaniya Avtoreferat doktorskoy dissertatsii 2012g. </w:t>
      </w:r>
      <w:hyperlink r:id="rId12" w:history="1">
        <w:r w:rsidRPr="00EE1612">
          <w:rPr>
            <w:rFonts w:ascii="Times New Roman" w:eastAsia="Times New Roman" w:hAnsi="Times New Roman" w:cs="Times New Roman"/>
            <w:sz w:val="24"/>
            <w:szCs w:val="24"/>
            <w:lang w:val="en-US" w:eastAsia="ru-RU"/>
          </w:rPr>
          <w:t>https://xn----8sbemlh7ab4a1m.xn--p1ai/work/377776/Regulirovanie-razvitiya-socialnoj-sfery</w:t>
        </w:r>
      </w:hyperlink>
      <w:r w:rsidRPr="00EE1612">
        <w:rPr>
          <w:rFonts w:ascii="Times New Roman" w:eastAsia="Times New Roman" w:hAnsi="Times New Roman" w:cs="Times New Roman"/>
          <w:sz w:val="24"/>
          <w:szCs w:val="24"/>
          <w:lang w:val="en-US" w:eastAsia="ru-RU"/>
        </w:rPr>
        <w:t xml:space="preserve"> </w:t>
      </w:r>
    </w:p>
    <w:p w14:paraId="124FFB59" w14:textId="3777B210" w:rsidR="00EE1612" w:rsidRPr="007D507F" w:rsidRDefault="00EE1612" w:rsidP="007D507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val="tr-TR" w:eastAsia="ru-RU"/>
        </w:rPr>
      </w:pPr>
      <w:r w:rsidRPr="000C60C3">
        <w:rPr>
          <w:rFonts w:ascii="Times New Roman" w:eastAsia="Times New Roman" w:hAnsi="Times New Roman" w:cs="Times New Roman"/>
          <w:sz w:val="24"/>
          <w:szCs w:val="24"/>
          <w:lang w:val="tr-TR" w:eastAsia="ru-RU"/>
        </w:rPr>
        <w:lastRenderedPageBreak/>
        <w:tab/>
      </w:r>
      <w:r w:rsidRPr="007D507F">
        <w:rPr>
          <w:rFonts w:ascii="Times New Roman" w:eastAsia="Times New Roman" w:hAnsi="Times New Roman" w:cs="Times New Roman"/>
          <w:sz w:val="24"/>
          <w:szCs w:val="24"/>
          <w:lang w:val="tr-TR" w:eastAsia="ru-RU"/>
        </w:rPr>
        <w:t>Djaparova, D. Ekonomicheskiy analiz sistemy zdravookhraneniya v KR: proyekt KTU «Manas»</w:t>
      </w:r>
      <w:r>
        <w:rPr>
          <w:rFonts w:ascii="Times New Roman" w:eastAsia="Times New Roman" w:hAnsi="Times New Roman" w:cs="Times New Roman"/>
          <w:sz w:val="24"/>
          <w:szCs w:val="24"/>
          <w:lang w:val="tr-TR" w:eastAsia="ru-RU"/>
        </w:rPr>
        <w:t>,</w:t>
      </w:r>
      <w:r w:rsidRPr="007D507F">
        <w:rPr>
          <w:rFonts w:ascii="Times New Roman" w:eastAsia="Times New Roman" w:hAnsi="Times New Roman" w:cs="Times New Roman"/>
          <w:sz w:val="24"/>
          <w:szCs w:val="24"/>
          <w:lang w:val="tr-TR" w:eastAsia="ru-RU"/>
        </w:rPr>
        <w:t xml:space="preserve"> № 2013.SOB.08 / D. Djaparova, – Bishkek, 2014. </w:t>
      </w:r>
    </w:p>
    <w:p w14:paraId="216A52E3" w14:textId="77777777" w:rsidR="00EE1612" w:rsidRPr="007D507F" w:rsidRDefault="00EE1612" w:rsidP="007D507F">
      <w:pPr>
        <w:shd w:val="clear" w:color="auto" w:fill="FFFFFF"/>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val="en-US" w:eastAsia="ru-RU"/>
        </w:rPr>
      </w:pPr>
      <w:r w:rsidRPr="007D507F">
        <w:rPr>
          <w:rFonts w:ascii="Times New Roman" w:eastAsia="Times New Roman" w:hAnsi="Times New Roman" w:cs="Times New Roman"/>
          <w:sz w:val="24"/>
          <w:szCs w:val="24"/>
          <w:lang w:val="tr-TR" w:eastAsia="ru-RU"/>
        </w:rPr>
        <w:tab/>
      </w:r>
      <w:r w:rsidRPr="007D507F">
        <w:rPr>
          <w:rFonts w:ascii="Times New Roman" w:eastAsia="Times New Roman" w:hAnsi="Times New Roman" w:cs="Times New Roman"/>
          <w:sz w:val="24"/>
          <w:szCs w:val="24"/>
          <w:lang w:val="tr-TR" w:eastAsia="ru-RU"/>
        </w:rPr>
        <w:tab/>
      </w:r>
      <w:r w:rsidRPr="007D507F">
        <w:rPr>
          <w:rFonts w:ascii="Times New Roman" w:eastAsia="Times New Roman" w:hAnsi="Times New Roman" w:cs="Times New Roman"/>
          <w:sz w:val="24"/>
          <w:szCs w:val="24"/>
          <w:lang w:val="en-US" w:eastAsia="ru-RU"/>
        </w:rPr>
        <w:t>Djaparova, D. Ekonomika zdravoohraneniya Kyrgyzstana v period transformatsii (Ekonomicheskiy analiz) [Tekst]: monografiya / D. – Germaniya: Lambert Academic Publishing, 2016. – 100 s.</w:t>
      </w:r>
    </w:p>
    <w:p w14:paraId="06FA81DF" w14:textId="77777777" w:rsidR="00EE1612" w:rsidRPr="007D507F" w:rsidRDefault="00EE1612" w:rsidP="007D507F">
      <w:pPr>
        <w:pStyle w:val="HTML"/>
        <w:shd w:val="clear" w:color="auto" w:fill="FFFFFF"/>
        <w:tabs>
          <w:tab w:val="left" w:pos="567"/>
        </w:tabs>
        <w:spacing w:before="120"/>
        <w:jc w:val="both"/>
        <w:rPr>
          <w:rStyle w:val="y2iqfc"/>
          <w:rFonts w:ascii="Times New Roman" w:hAnsi="Times New Roman" w:cs="Times New Roman"/>
          <w:sz w:val="24"/>
          <w:szCs w:val="24"/>
          <w:lang w:val="en-US"/>
        </w:rPr>
      </w:pPr>
      <w:r w:rsidRPr="007D507F">
        <w:rPr>
          <w:rStyle w:val="y2iqfc"/>
          <w:rFonts w:ascii="Times New Roman" w:hAnsi="Times New Roman" w:cs="Times New Roman"/>
          <w:sz w:val="24"/>
          <w:szCs w:val="24"/>
          <w:lang w:val="en-US"/>
        </w:rPr>
        <w:tab/>
        <w:t xml:space="preserve">Djaparova, D. Motivatsiya truda meditsinskikh rabotnikov v Kyrgyzstane – put' povysheniya kachestva meditsinskikh uslug / D. Djaparova // Ekonomiss. – M., 2016. – № 9 (18). – S. 14-20. </w:t>
      </w:r>
    </w:p>
    <w:p w14:paraId="5354EC5A" w14:textId="77777777" w:rsidR="00EE1612" w:rsidRPr="007D507F" w:rsidRDefault="00EE1612" w:rsidP="007D507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val="en-US" w:eastAsia="ru-RU"/>
        </w:rPr>
      </w:pPr>
      <w:r w:rsidRPr="007D507F">
        <w:rPr>
          <w:rFonts w:ascii="Times New Roman" w:eastAsia="Times New Roman" w:hAnsi="Times New Roman" w:cs="Times New Roman"/>
          <w:sz w:val="24"/>
          <w:szCs w:val="24"/>
          <w:lang w:val="en-US" w:eastAsia="ru-RU"/>
        </w:rPr>
        <w:tab/>
        <w:t>Ekonomika zdravookhraneniya / pod red. M. G. Kolosnitsynoy, I. M. Sheymana, S. V. Shishkina. - 2-ye izd., pererab. i dop. - M.: GEOTAR-Media, 2018, S.311-315.</w:t>
      </w:r>
    </w:p>
    <w:p w14:paraId="7BFC1634" w14:textId="77777777" w:rsidR="00EE1612" w:rsidRPr="00EE1612" w:rsidRDefault="00EE1612" w:rsidP="00EE161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sz w:val="24"/>
          <w:szCs w:val="24"/>
          <w:lang w:val="en-US" w:eastAsia="ru-RU"/>
        </w:rPr>
      </w:pPr>
      <w:r w:rsidRPr="00EE1612">
        <w:rPr>
          <w:rFonts w:ascii="Times New Roman" w:eastAsia="Times New Roman" w:hAnsi="Times New Roman" w:cs="Times New Roman"/>
          <w:sz w:val="24"/>
          <w:szCs w:val="24"/>
          <w:lang w:val="en-US" w:eastAsia="ru-RU"/>
        </w:rPr>
        <w:tab/>
        <w:t xml:space="preserve">Karatayev, M. M. Otsenka protsessnoy modeli razvitiya triady podsistem zdravookhraneniya: kliniko-statsionarnaya pomoshch', ambulatorno-poliklinicheskaya pomoshch', mediko-sotsial'naya pomoshch' / M. M. Karatayev, ZH. I. Ashimov, SH. T. Abrakhmanov. : // Molodoy uchenyy. — 2017. — № 14 (148). — S. 232-241. — URL: </w:t>
      </w:r>
      <w:hyperlink r:id="rId13" w:history="1">
        <w:r w:rsidRPr="00EE1612">
          <w:rPr>
            <w:rFonts w:ascii="Times New Roman" w:eastAsia="Times New Roman" w:hAnsi="Times New Roman" w:cs="Times New Roman"/>
            <w:sz w:val="24"/>
            <w:szCs w:val="24"/>
            <w:lang w:val="en-US" w:eastAsia="ru-RU"/>
          </w:rPr>
          <w:t>https://moluch.ru/archive/148/41324/</w:t>
        </w:r>
      </w:hyperlink>
    </w:p>
    <w:p w14:paraId="10ECBD1C" w14:textId="77777777" w:rsidR="00EE1612" w:rsidRPr="007D507F" w:rsidRDefault="00EE1612" w:rsidP="00EE161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7D507F">
        <w:rPr>
          <w:rFonts w:ascii="Times New Roman" w:eastAsia="Times New Roman" w:hAnsi="Times New Roman" w:cs="Times New Roman"/>
          <w:sz w:val="24"/>
          <w:szCs w:val="24"/>
          <w:lang w:val="en-US" w:eastAsia="ru-RU"/>
        </w:rPr>
        <w:tab/>
        <w:t xml:space="preserve">Lomskaya T. G. Vedomosti / Ekonomika 22 aprelya 2019 g. Eksperty predupredili o posledstviyakh vozvrata k byudzhetnoy meditsine. </w:t>
      </w:r>
      <w:hyperlink r:id="rId14" w:history="1">
        <w:r w:rsidRPr="00EE1612">
          <w:rPr>
            <w:rStyle w:val="a6"/>
            <w:rFonts w:ascii="Times New Roman" w:eastAsia="Times New Roman" w:hAnsi="Times New Roman" w:cs="Times New Roman"/>
            <w:color w:val="auto"/>
            <w:sz w:val="24"/>
            <w:szCs w:val="24"/>
            <w:u w:val="none"/>
            <w:lang w:val="en-US" w:eastAsia="ru-RU"/>
          </w:rPr>
          <w:t>https</w:t>
        </w:r>
        <w:r w:rsidRPr="00EE1612">
          <w:rPr>
            <w:rStyle w:val="a6"/>
            <w:rFonts w:ascii="Times New Roman" w:eastAsia="Times New Roman" w:hAnsi="Times New Roman" w:cs="Times New Roman"/>
            <w:color w:val="auto"/>
            <w:sz w:val="24"/>
            <w:szCs w:val="24"/>
            <w:u w:val="none"/>
            <w:lang w:eastAsia="ru-RU"/>
          </w:rPr>
          <w:t>://</w:t>
        </w:r>
        <w:r w:rsidRPr="00EE1612">
          <w:rPr>
            <w:rStyle w:val="a6"/>
            <w:rFonts w:ascii="Times New Roman" w:eastAsia="Times New Roman" w:hAnsi="Times New Roman" w:cs="Times New Roman"/>
            <w:color w:val="auto"/>
            <w:sz w:val="24"/>
            <w:szCs w:val="24"/>
            <w:u w:val="none"/>
            <w:lang w:val="en-US" w:eastAsia="ru-RU"/>
          </w:rPr>
          <w:t>www</w:t>
        </w:r>
        <w:r w:rsidRPr="00EE1612">
          <w:rPr>
            <w:rStyle w:val="a6"/>
            <w:rFonts w:ascii="Times New Roman" w:eastAsia="Times New Roman" w:hAnsi="Times New Roman" w:cs="Times New Roman"/>
            <w:color w:val="auto"/>
            <w:sz w:val="24"/>
            <w:szCs w:val="24"/>
            <w:u w:val="none"/>
            <w:lang w:eastAsia="ru-RU"/>
          </w:rPr>
          <w:t>.</w:t>
        </w:r>
        <w:r w:rsidRPr="00EE1612">
          <w:rPr>
            <w:rStyle w:val="a6"/>
            <w:rFonts w:ascii="Times New Roman" w:eastAsia="Times New Roman" w:hAnsi="Times New Roman" w:cs="Times New Roman"/>
            <w:color w:val="auto"/>
            <w:sz w:val="24"/>
            <w:szCs w:val="24"/>
            <w:u w:val="none"/>
            <w:lang w:val="en-US" w:eastAsia="ru-RU"/>
          </w:rPr>
          <w:t>vedomosti</w:t>
        </w:r>
        <w:r w:rsidRPr="00EE1612">
          <w:rPr>
            <w:rStyle w:val="a6"/>
            <w:rFonts w:ascii="Times New Roman" w:eastAsia="Times New Roman" w:hAnsi="Times New Roman" w:cs="Times New Roman"/>
            <w:color w:val="auto"/>
            <w:sz w:val="24"/>
            <w:szCs w:val="24"/>
            <w:u w:val="none"/>
            <w:lang w:eastAsia="ru-RU"/>
          </w:rPr>
          <w:t>.</w:t>
        </w:r>
        <w:r w:rsidRPr="00EE1612">
          <w:rPr>
            <w:rStyle w:val="a6"/>
            <w:rFonts w:ascii="Times New Roman" w:eastAsia="Times New Roman" w:hAnsi="Times New Roman" w:cs="Times New Roman"/>
            <w:color w:val="auto"/>
            <w:sz w:val="24"/>
            <w:szCs w:val="24"/>
            <w:u w:val="none"/>
            <w:lang w:val="en-US" w:eastAsia="ru-RU"/>
          </w:rPr>
          <w:t>ru</w:t>
        </w:r>
        <w:r w:rsidRPr="00EE1612">
          <w:rPr>
            <w:rStyle w:val="a6"/>
            <w:rFonts w:ascii="Times New Roman" w:eastAsia="Times New Roman" w:hAnsi="Times New Roman" w:cs="Times New Roman"/>
            <w:color w:val="auto"/>
            <w:sz w:val="24"/>
            <w:szCs w:val="24"/>
            <w:u w:val="none"/>
            <w:lang w:eastAsia="ru-RU"/>
          </w:rPr>
          <w:t>/</w:t>
        </w:r>
        <w:r w:rsidRPr="00EE1612">
          <w:rPr>
            <w:rStyle w:val="a6"/>
            <w:rFonts w:ascii="Times New Roman" w:eastAsia="Times New Roman" w:hAnsi="Times New Roman" w:cs="Times New Roman"/>
            <w:color w:val="auto"/>
            <w:sz w:val="24"/>
            <w:szCs w:val="24"/>
            <w:u w:val="none"/>
            <w:lang w:val="en-US" w:eastAsia="ru-RU"/>
          </w:rPr>
          <w:t>economics</w:t>
        </w:r>
        <w:r w:rsidRPr="00EE1612">
          <w:rPr>
            <w:rStyle w:val="a6"/>
            <w:rFonts w:ascii="Times New Roman" w:eastAsia="Times New Roman" w:hAnsi="Times New Roman" w:cs="Times New Roman"/>
            <w:color w:val="auto"/>
            <w:sz w:val="24"/>
            <w:szCs w:val="24"/>
            <w:u w:val="none"/>
            <w:lang w:eastAsia="ru-RU"/>
          </w:rPr>
          <w:t>/</w:t>
        </w:r>
        <w:r w:rsidRPr="00EE1612">
          <w:rPr>
            <w:rStyle w:val="a6"/>
            <w:rFonts w:ascii="Times New Roman" w:eastAsia="Times New Roman" w:hAnsi="Times New Roman" w:cs="Times New Roman"/>
            <w:color w:val="auto"/>
            <w:sz w:val="24"/>
            <w:szCs w:val="24"/>
            <w:u w:val="none"/>
            <w:lang w:val="en-US" w:eastAsia="ru-RU"/>
          </w:rPr>
          <w:t>articles</w:t>
        </w:r>
        <w:r w:rsidRPr="00EE1612">
          <w:rPr>
            <w:rStyle w:val="a6"/>
            <w:rFonts w:ascii="Times New Roman" w:eastAsia="Times New Roman" w:hAnsi="Times New Roman" w:cs="Times New Roman"/>
            <w:color w:val="auto"/>
            <w:sz w:val="24"/>
            <w:szCs w:val="24"/>
            <w:u w:val="none"/>
            <w:lang w:eastAsia="ru-RU"/>
          </w:rPr>
          <w:t>/2019/04/21/799768-</w:t>
        </w:r>
        <w:r w:rsidRPr="00EE1612">
          <w:rPr>
            <w:rStyle w:val="a6"/>
            <w:rFonts w:ascii="Times New Roman" w:eastAsia="Times New Roman" w:hAnsi="Times New Roman" w:cs="Times New Roman"/>
            <w:color w:val="auto"/>
            <w:sz w:val="24"/>
            <w:szCs w:val="24"/>
            <w:u w:val="none"/>
            <w:lang w:val="en-US" w:eastAsia="ru-RU"/>
          </w:rPr>
          <w:t>posledstviyah</w:t>
        </w:r>
        <w:r w:rsidRPr="00EE1612">
          <w:rPr>
            <w:rStyle w:val="a6"/>
            <w:rFonts w:ascii="Times New Roman" w:eastAsia="Times New Roman" w:hAnsi="Times New Roman" w:cs="Times New Roman"/>
            <w:color w:val="auto"/>
            <w:sz w:val="24"/>
            <w:szCs w:val="24"/>
            <w:u w:val="none"/>
            <w:lang w:eastAsia="ru-RU"/>
          </w:rPr>
          <w:t>-</w:t>
        </w:r>
        <w:r w:rsidRPr="00EE1612">
          <w:rPr>
            <w:rStyle w:val="a6"/>
            <w:rFonts w:ascii="Times New Roman" w:eastAsia="Times New Roman" w:hAnsi="Times New Roman" w:cs="Times New Roman"/>
            <w:color w:val="auto"/>
            <w:sz w:val="24"/>
            <w:szCs w:val="24"/>
            <w:u w:val="none"/>
            <w:lang w:val="en-US" w:eastAsia="ru-RU"/>
          </w:rPr>
          <w:t>byudzhetnoi</w:t>
        </w:r>
        <w:r w:rsidRPr="00EE1612">
          <w:rPr>
            <w:rStyle w:val="a6"/>
            <w:rFonts w:ascii="Times New Roman" w:eastAsia="Times New Roman" w:hAnsi="Times New Roman" w:cs="Times New Roman"/>
            <w:color w:val="auto"/>
            <w:sz w:val="24"/>
            <w:szCs w:val="24"/>
            <w:u w:val="none"/>
            <w:lang w:eastAsia="ru-RU"/>
          </w:rPr>
          <w:t>-</w:t>
        </w:r>
        <w:r w:rsidRPr="00EE1612">
          <w:rPr>
            <w:rStyle w:val="a6"/>
            <w:rFonts w:ascii="Times New Roman" w:eastAsia="Times New Roman" w:hAnsi="Times New Roman" w:cs="Times New Roman"/>
            <w:color w:val="auto"/>
            <w:sz w:val="24"/>
            <w:szCs w:val="24"/>
            <w:u w:val="none"/>
            <w:lang w:val="en-US" w:eastAsia="ru-RU"/>
          </w:rPr>
          <w:t>meditsine</w:t>
        </w:r>
      </w:hyperlink>
    </w:p>
    <w:p w14:paraId="651F8428" w14:textId="77777777" w:rsidR="00EE1612" w:rsidRPr="007D507F" w:rsidRDefault="00EE1612" w:rsidP="007D507F">
      <w:pPr>
        <w:pStyle w:val="HTML"/>
        <w:shd w:val="clear" w:color="auto" w:fill="FFFFFF"/>
        <w:tabs>
          <w:tab w:val="left" w:pos="567"/>
        </w:tabs>
        <w:spacing w:before="120"/>
        <w:jc w:val="both"/>
        <w:rPr>
          <w:rStyle w:val="y2iqfc"/>
          <w:rFonts w:ascii="Times New Roman" w:hAnsi="Times New Roman" w:cs="Times New Roman"/>
          <w:sz w:val="24"/>
          <w:szCs w:val="24"/>
          <w:lang w:val="tr-TR"/>
        </w:rPr>
      </w:pPr>
      <w:r w:rsidRPr="007D507F">
        <w:rPr>
          <w:rStyle w:val="y2iqfc"/>
          <w:rFonts w:ascii="Times New Roman" w:hAnsi="Times New Roman" w:cs="Times New Roman"/>
          <w:sz w:val="24"/>
          <w:szCs w:val="24"/>
        </w:rPr>
        <w:tab/>
      </w:r>
      <w:r w:rsidRPr="007D507F">
        <w:rPr>
          <w:rStyle w:val="y2iqfc"/>
          <w:rFonts w:ascii="Times New Roman" w:hAnsi="Times New Roman" w:cs="Times New Roman"/>
          <w:sz w:val="24"/>
          <w:szCs w:val="24"/>
          <w:lang w:val="en-US"/>
        </w:rPr>
        <w:t>Mambetov</w:t>
      </w:r>
      <w:r w:rsidRPr="007D507F">
        <w:rPr>
          <w:rStyle w:val="y2iqfc"/>
          <w:rFonts w:ascii="Times New Roman" w:hAnsi="Times New Roman" w:cs="Times New Roman"/>
          <w:sz w:val="24"/>
          <w:szCs w:val="24"/>
        </w:rPr>
        <w:t xml:space="preserve"> </w:t>
      </w:r>
      <w:r w:rsidRPr="007D507F">
        <w:rPr>
          <w:rStyle w:val="y2iqfc"/>
          <w:rFonts w:ascii="Times New Roman" w:hAnsi="Times New Roman" w:cs="Times New Roman"/>
          <w:sz w:val="24"/>
          <w:szCs w:val="24"/>
          <w:lang w:val="en-US"/>
        </w:rPr>
        <w:t>M</w:t>
      </w:r>
      <w:r w:rsidRPr="007D507F">
        <w:rPr>
          <w:rStyle w:val="y2iqfc"/>
          <w:rFonts w:ascii="Times New Roman" w:hAnsi="Times New Roman" w:cs="Times New Roman"/>
          <w:sz w:val="24"/>
          <w:szCs w:val="24"/>
          <w:lang w:val="tr-TR"/>
        </w:rPr>
        <w:t>,</w:t>
      </w:r>
      <w:r w:rsidRPr="007D507F">
        <w:rPr>
          <w:rStyle w:val="y2iqfc"/>
          <w:rFonts w:ascii="Times New Roman" w:hAnsi="Times New Roman" w:cs="Times New Roman"/>
          <w:sz w:val="24"/>
          <w:szCs w:val="24"/>
        </w:rPr>
        <w:t xml:space="preserve"> (</w:t>
      </w:r>
      <w:r w:rsidRPr="007D507F">
        <w:rPr>
          <w:rStyle w:val="y2iqfc"/>
          <w:rFonts w:ascii="Times New Roman" w:hAnsi="Times New Roman" w:cs="Times New Roman"/>
          <w:sz w:val="24"/>
          <w:szCs w:val="24"/>
          <w:lang w:val="tr-TR"/>
        </w:rPr>
        <w:t>2011</w:t>
      </w:r>
      <w:r w:rsidRPr="007D507F">
        <w:rPr>
          <w:rStyle w:val="y2iqfc"/>
          <w:rFonts w:ascii="Times New Roman" w:hAnsi="Times New Roman" w:cs="Times New Roman"/>
          <w:sz w:val="24"/>
          <w:szCs w:val="24"/>
        </w:rPr>
        <w:t>)</w:t>
      </w:r>
      <w:r w:rsidRPr="007D507F">
        <w:rPr>
          <w:rStyle w:val="y2iqfc"/>
          <w:rFonts w:ascii="Times New Roman" w:hAnsi="Times New Roman" w:cs="Times New Roman"/>
          <w:sz w:val="24"/>
          <w:szCs w:val="24"/>
          <w:lang w:val="tr-TR"/>
        </w:rPr>
        <w:t xml:space="preserve">. Mezhdunarodnykh donorov nado ubezhdat', a ne poddakivat' im «Vecherniy Bishkek» 03/05/20211 /members.vb.kg/2011/06/03/bezret/1.html </w:t>
      </w:r>
    </w:p>
    <w:p w14:paraId="051DDA16" w14:textId="77777777" w:rsidR="00EE1612" w:rsidRPr="00EE1612" w:rsidRDefault="00EE1612" w:rsidP="00EE161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sz w:val="24"/>
          <w:szCs w:val="24"/>
          <w:lang w:val="en-US" w:eastAsia="ru-RU"/>
        </w:rPr>
      </w:pPr>
      <w:r w:rsidRPr="00EE1612">
        <w:rPr>
          <w:rFonts w:ascii="Times New Roman" w:eastAsia="Times New Roman" w:hAnsi="Times New Roman" w:cs="Times New Roman"/>
          <w:sz w:val="24"/>
          <w:szCs w:val="24"/>
          <w:lang w:val="en-US" w:eastAsia="ru-RU"/>
        </w:rPr>
        <w:tab/>
        <w:t>Meymanaliyev, T. Kyrgyzskaya model' zdravookhraneniya [Elektronnyy resurs]. – Bishkek, «Uchkun», 2003. – Rezhim dostupa: http://www.dissercat.com/content/sfera-sotsialnykh-uslug-v-usloviyakh-perekhodnoi-ekonomiki-na-materialakh-kyrgyzskoi-respubl#ixzz4grIcJt5J. –</w:t>
      </w:r>
    </w:p>
    <w:p w14:paraId="65443284" w14:textId="77777777" w:rsidR="00EE1612" w:rsidRPr="007D507F" w:rsidRDefault="00EE1612" w:rsidP="007D507F">
      <w:pPr>
        <w:pStyle w:val="HTML"/>
        <w:shd w:val="clear" w:color="auto" w:fill="FFFFFF"/>
        <w:tabs>
          <w:tab w:val="left" w:pos="567"/>
        </w:tabs>
        <w:spacing w:before="120"/>
        <w:jc w:val="both"/>
        <w:rPr>
          <w:rStyle w:val="y2iqfc"/>
          <w:rFonts w:ascii="Times New Roman" w:hAnsi="Times New Roman" w:cs="Times New Roman"/>
          <w:sz w:val="24"/>
          <w:szCs w:val="24"/>
          <w:lang w:val="tr-TR"/>
        </w:rPr>
      </w:pPr>
      <w:r w:rsidRPr="007D507F">
        <w:rPr>
          <w:rStyle w:val="y2iqfc"/>
          <w:rFonts w:ascii="Times New Roman" w:hAnsi="Times New Roman" w:cs="Times New Roman"/>
          <w:sz w:val="24"/>
          <w:szCs w:val="24"/>
          <w:lang w:val="tr-TR"/>
        </w:rPr>
        <w:tab/>
        <w:t>Otchet o deyatel'nosti Fonda obyazatel'nogo meditsinskogo strakhovaniya pri Pravitel'stve Kyrgyzskoy Respubliki za 2009 - 2019 gody. http://foms.kg/page/reports</w:t>
      </w:r>
    </w:p>
    <w:p w14:paraId="0452D876" w14:textId="77777777" w:rsidR="00EE1612" w:rsidRPr="007D507F" w:rsidRDefault="00EE1612" w:rsidP="007D507F">
      <w:pPr>
        <w:pStyle w:val="HTML"/>
        <w:shd w:val="clear" w:color="auto" w:fill="FFFFFF"/>
        <w:tabs>
          <w:tab w:val="left" w:pos="567"/>
        </w:tabs>
        <w:spacing w:before="120"/>
        <w:jc w:val="both"/>
        <w:rPr>
          <w:rFonts w:ascii="Times New Roman" w:hAnsi="Times New Roman" w:cs="Times New Roman"/>
          <w:color w:val="000000" w:themeColor="text1"/>
          <w:sz w:val="24"/>
          <w:szCs w:val="24"/>
          <w:shd w:val="clear" w:color="auto" w:fill="FFFFFF"/>
          <w:lang w:val="kk-KZ"/>
        </w:rPr>
      </w:pPr>
      <w:r w:rsidRPr="007D507F">
        <w:rPr>
          <w:rStyle w:val="y2iqfc"/>
          <w:rFonts w:ascii="Times New Roman" w:hAnsi="Times New Roman" w:cs="Times New Roman"/>
          <w:sz w:val="24"/>
          <w:szCs w:val="24"/>
          <w:lang w:val="tr-TR"/>
        </w:rPr>
        <w:tab/>
        <w:t>Polozheniye o sooplate za meditsinskiye uslugi, predostavlyayemyye organizatsiyami zdravookhraneniya, rabotayushchimi v sisteme Yedinogo platel'shchika, utver. postanovleniyem Pravitel'stva Kyrgyzskoy Respubliki ot1 iyulya 2011 goda № 350.</w:t>
      </w:r>
      <w:r w:rsidRPr="007D507F">
        <w:rPr>
          <w:rStyle w:val="y2iqfc"/>
          <w:rFonts w:ascii="Times New Roman" w:hAnsi="Times New Roman" w:cs="Times New Roman"/>
          <w:sz w:val="24"/>
          <w:szCs w:val="24"/>
          <w:lang w:val="kk-KZ"/>
        </w:rPr>
        <w:t xml:space="preserve"> </w:t>
      </w:r>
      <w:r w:rsidRPr="007D507F">
        <w:rPr>
          <w:rFonts w:ascii="Times New Roman" w:hAnsi="Times New Roman" w:cs="Times New Roman"/>
          <w:sz w:val="24"/>
          <w:szCs w:val="24"/>
          <w:shd w:val="clear" w:color="auto" w:fill="FFFFFF"/>
          <w:lang w:val="tr-TR"/>
        </w:rPr>
        <w:t>(Çev</w:t>
      </w:r>
      <w:r w:rsidRPr="007D507F">
        <w:rPr>
          <w:rFonts w:ascii="Times New Roman" w:hAnsi="Times New Roman" w:cs="Times New Roman"/>
          <w:sz w:val="24"/>
          <w:szCs w:val="24"/>
          <w:shd w:val="clear" w:color="auto" w:fill="FFFFFF"/>
          <w:lang w:val="kk-KZ"/>
        </w:rPr>
        <w:t>.</w:t>
      </w:r>
      <w:r w:rsidRPr="007D507F">
        <w:rPr>
          <w:rFonts w:ascii="Times New Roman" w:hAnsi="Times New Roman" w:cs="Times New Roman"/>
          <w:sz w:val="24"/>
          <w:szCs w:val="24"/>
          <w:shd w:val="clear" w:color="auto" w:fill="FFFFFF"/>
          <w:lang w:val="tr-TR"/>
        </w:rPr>
        <w:t>: Kırgız Cumhuriyeti tıbbi hizmetler için katkı payına ilişkin Yönetmelik, 2015).</w:t>
      </w:r>
    </w:p>
    <w:p w14:paraId="7946C68F" w14:textId="77777777" w:rsidR="00EE1612" w:rsidRPr="007D507F" w:rsidRDefault="00EE1612" w:rsidP="007D507F">
      <w:pPr>
        <w:pStyle w:val="HTML"/>
        <w:shd w:val="clear" w:color="auto" w:fill="FFFFFF"/>
        <w:tabs>
          <w:tab w:val="left" w:pos="567"/>
        </w:tabs>
        <w:spacing w:before="120"/>
        <w:jc w:val="both"/>
        <w:rPr>
          <w:rStyle w:val="y2iqfc"/>
          <w:rFonts w:ascii="Times New Roman" w:hAnsi="Times New Roman" w:cs="Times New Roman"/>
          <w:sz w:val="24"/>
          <w:szCs w:val="24"/>
          <w:lang w:val="en-US"/>
        </w:rPr>
      </w:pPr>
      <w:r w:rsidRPr="007D507F">
        <w:rPr>
          <w:rStyle w:val="y2iqfc"/>
          <w:rFonts w:ascii="Times New Roman" w:hAnsi="Times New Roman" w:cs="Times New Roman"/>
          <w:sz w:val="24"/>
          <w:szCs w:val="24"/>
          <w:lang w:val="tr-TR"/>
        </w:rPr>
        <w:tab/>
      </w:r>
      <w:r w:rsidRPr="007D507F">
        <w:rPr>
          <w:rStyle w:val="y2iqfc"/>
          <w:rFonts w:ascii="Times New Roman" w:hAnsi="Times New Roman" w:cs="Times New Roman"/>
          <w:sz w:val="24"/>
          <w:szCs w:val="24"/>
          <w:lang w:val="en-US"/>
        </w:rPr>
        <w:t>Programma gosudarstvennykh garantiy po obespecheniyu grazhdan mediko-sanitarnoy pomoshch'yu. Utverzhdeno Postanovleniyem Pravitel'stva Kyrgyzskoy Respubliki ot 20 noyabrya 2015 goda № 790.</w:t>
      </w:r>
    </w:p>
    <w:p w14:paraId="2B3C55C9" w14:textId="77777777" w:rsidR="00EE1612" w:rsidRPr="007D507F" w:rsidRDefault="00EE1612" w:rsidP="007D507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sz w:val="24"/>
          <w:szCs w:val="24"/>
          <w:lang w:val="en-US" w:eastAsia="ru-RU"/>
        </w:rPr>
      </w:pPr>
      <w:r w:rsidRPr="007D507F">
        <w:rPr>
          <w:rFonts w:ascii="inherit" w:eastAsia="Times New Roman" w:hAnsi="inherit" w:cs="Courier New"/>
          <w:sz w:val="24"/>
          <w:szCs w:val="24"/>
          <w:lang w:val="en-US" w:eastAsia="ru-RU"/>
        </w:rPr>
        <w:tab/>
      </w:r>
      <w:r w:rsidRPr="007D507F">
        <w:rPr>
          <w:rFonts w:ascii="Times New Roman" w:eastAsia="Times New Roman" w:hAnsi="Times New Roman" w:cs="Times New Roman"/>
          <w:sz w:val="24"/>
          <w:szCs w:val="24"/>
          <w:lang w:val="en-US" w:eastAsia="ru-RU"/>
        </w:rPr>
        <w:t>Sheyman I.M. Ekonomika zdravoohraneniya. 2009.</w:t>
      </w:r>
      <w:r w:rsidRPr="007D507F">
        <w:rPr>
          <w:rFonts w:ascii="Times New Roman" w:eastAsia="Times New Roman" w:hAnsi="Times New Roman" w:cs="Times New Roman"/>
          <w:sz w:val="24"/>
          <w:szCs w:val="24"/>
          <w:lang w:val="tr-TR" w:eastAsia="ru-RU"/>
        </w:rPr>
        <w:t xml:space="preserve"> </w:t>
      </w:r>
      <w:r w:rsidRPr="007D507F">
        <w:rPr>
          <w:rFonts w:ascii="Times New Roman" w:eastAsia="Times New Roman" w:hAnsi="Times New Roman" w:cs="Times New Roman"/>
          <w:sz w:val="24"/>
          <w:szCs w:val="24"/>
          <w:lang w:val="en-US" w:eastAsia="ru-RU"/>
        </w:rPr>
        <w:t>N 6. s. 47-55.</w:t>
      </w:r>
    </w:p>
    <w:p w14:paraId="44B3C0D5" w14:textId="77777777" w:rsidR="00EE1612" w:rsidRPr="00EE1612" w:rsidRDefault="00EE1612" w:rsidP="00EE161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eastAsia="Times New Roman"/>
          <w:lang w:val="en-US" w:eastAsia="ru-RU"/>
        </w:rPr>
      </w:pPr>
      <w:r w:rsidRPr="00EE1612">
        <w:rPr>
          <w:rFonts w:ascii="Times New Roman" w:eastAsia="Times New Roman" w:hAnsi="Times New Roman" w:cs="Times New Roman"/>
          <w:sz w:val="24"/>
          <w:szCs w:val="24"/>
          <w:lang w:val="en-US" w:eastAsia="ru-RU"/>
        </w:rPr>
        <w:tab/>
        <w:t>Sistemy zdravookhraneniya v deystvii Kyrgyzstan Yevropeyskoye regional'noye byuro VOZ Yevropeyskaya observatoriya po sistemam i politike zdravookhraneniya 2021g. https://apps.who.int/iris/bitstream/handle/10665/354485/9789289059015-rus.pdf?sequence=1&amp;isAllowed=y</w:t>
      </w:r>
    </w:p>
    <w:p w14:paraId="3EF989CA" w14:textId="03F94AE9" w:rsidR="00EE1612" w:rsidRPr="00EE1612" w:rsidRDefault="00EE1612" w:rsidP="00EE161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284"/>
        <w:jc w:val="both"/>
        <w:rPr>
          <w:rFonts w:ascii="Times New Roman" w:eastAsia="Times New Roman" w:hAnsi="Times New Roman" w:cs="Times New Roman"/>
          <w:sz w:val="24"/>
          <w:szCs w:val="24"/>
          <w:lang w:val="en-US" w:eastAsia="ru-RU"/>
        </w:rPr>
      </w:pPr>
      <w:r w:rsidRPr="00EE1612">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 xml:space="preserve">Toktomatov, </w:t>
      </w:r>
      <w:r w:rsidRPr="00EE1612">
        <w:rPr>
          <w:rFonts w:ascii="Times New Roman" w:eastAsia="Times New Roman" w:hAnsi="Times New Roman" w:cs="Times New Roman"/>
          <w:sz w:val="24"/>
          <w:szCs w:val="24"/>
          <w:lang w:val="en-US" w:eastAsia="ru-RU"/>
        </w:rPr>
        <w:t>Nurmambet Toktomatovich</w:t>
      </w:r>
      <w:r>
        <w:rPr>
          <w:rFonts w:ascii="Times New Roman" w:eastAsia="Times New Roman" w:hAnsi="Times New Roman" w:cs="Times New Roman"/>
          <w:sz w:val="24"/>
          <w:szCs w:val="24"/>
          <w:lang w:val="en-US" w:eastAsia="ru-RU"/>
        </w:rPr>
        <w:t xml:space="preserve">. </w:t>
      </w:r>
      <w:r w:rsidRPr="00EE1612">
        <w:rPr>
          <w:rFonts w:ascii="Times New Roman" w:eastAsia="Times New Roman" w:hAnsi="Times New Roman" w:cs="Times New Roman"/>
          <w:sz w:val="24"/>
          <w:szCs w:val="24"/>
          <w:lang w:val="en-US" w:eastAsia="ru-RU"/>
        </w:rPr>
        <w:t xml:space="preserve">Upravleniye statsionarnoy meditsinskoy pomoshch'yu naseleniyu Kyrgyzstana v usloviyakh reformirovaniya otrasli. Avtoreferat doktorskoy dissertatsii 2004g. https://www.dissercat.com/content/upravlenie-statsionarnoi-meditsinskoi-pomoshchyu-naseleniyu-kyrgyzstana-v-usloviyakh-reformi </w:t>
      </w:r>
    </w:p>
    <w:p w14:paraId="0627DF21" w14:textId="77777777" w:rsidR="00EE1612" w:rsidRPr="007D507F" w:rsidRDefault="00EE1612" w:rsidP="007D507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val="en-US" w:eastAsia="ru-RU"/>
        </w:rPr>
      </w:pPr>
      <w:r w:rsidRPr="007D507F">
        <w:rPr>
          <w:rFonts w:ascii="Times New Roman" w:eastAsia="Times New Roman" w:hAnsi="Times New Roman" w:cs="Times New Roman"/>
          <w:sz w:val="24"/>
          <w:szCs w:val="24"/>
          <w:lang w:val="en-US" w:eastAsia="ru-RU"/>
        </w:rPr>
        <w:tab/>
        <w:t xml:space="preserve">Ulumbekova G.E., Ginoyan A.B., Kalashnikova A.V., Al'vianskaya N.V. Finansirovaniye zdravookhraneniya v Rossii (2021 - 2024 gg.). Fakty i predlozheniya // ORGZDRAV: novosti, mneniya, obucheniye. Vestnik VSHOUZ. 2019. T. 5, № 4. S. 4–19. </w:t>
      </w:r>
      <w:r w:rsidRPr="007D507F">
        <w:rPr>
          <w:rFonts w:ascii="Times New Roman" w:eastAsia="Times New Roman" w:hAnsi="Times New Roman" w:cs="Times New Roman"/>
          <w:sz w:val="24"/>
          <w:szCs w:val="24"/>
          <w:lang w:val="en-US" w:eastAsia="ru-RU"/>
        </w:rPr>
        <w:lastRenderedPageBreak/>
        <w:t>https://www.vshouz.ru/journal/2019-god/finansirovanie-zdravookhraneniya-v-rossii-2021-2024-gg-/</w:t>
      </w:r>
    </w:p>
    <w:p w14:paraId="42A7B92C" w14:textId="77777777" w:rsidR="00EE1612" w:rsidRDefault="00EE1612" w:rsidP="007D507F">
      <w:pPr>
        <w:pStyle w:val="HTML"/>
        <w:shd w:val="clear" w:color="auto" w:fill="FFFFFF"/>
        <w:tabs>
          <w:tab w:val="left" w:pos="567"/>
        </w:tabs>
        <w:spacing w:before="120"/>
        <w:jc w:val="both"/>
        <w:rPr>
          <w:rStyle w:val="a6"/>
          <w:rFonts w:ascii="Times New Roman" w:hAnsi="Times New Roman" w:cs="Times New Roman"/>
          <w:color w:val="auto"/>
          <w:sz w:val="24"/>
          <w:szCs w:val="24"/>
          <w:u w:val="none"/>
          <w:lang w:val="en-US"/>
        </w:rPr>
      </w:pPr>
      <w:r w:rsidRPr="007D507F">
        <w:rPr>
          <w:rStyle w:val="y2iqfc"/>
          <w:rFonts w:ascii="Times New Roman" w:hAnsi="Times New Roman" w:cs="Times New Roman"/>
          <w:sz w:val="24"/>
          <w:szCs w:val="24"/>
          <w:lang w:val="en-US"/>
        </w:rPr>
        <w:tab/>
        <w:t>Upravleniye finansirovaniyem zdravookhraneniya i strategicheskimi z</w:t>
      </w:r>
      <w:r>
        <w:rPr>
          <w:rStyle w:val="y2iqfc"/>
          <w:rFonts w:ascii="Times New Roman" w:hAnsi="Times New Roman" w:cs="Times New Roman"/>
          <w:sz w:val="24"/>
          <w:szCs w:val="24"/>
          <w:lang w:val="en-US"/>
        </w:rPr>
        <w:t xml:space="preserve">akupkami uslug v Kyrgyzstane. </w:t>
      </w:r>
      <w:r w:rsidRPr="007D507F">
        <w:rPr>
          <w:rStyle w:val="y2iqfc"/>
          <w:rFonts w:ascii="Times New Roman" w:hAnsi="Times New Roman" w:cs="Times New Roman"/>
          <w:sz w:val="24"/>
          <w:szCs w:val="24"/>
          <w:lang w:val="en-US"/>
        </w:rPr>
        <w:t xml:space="preserve">Vsemirnaya organizatsiya zdravookhraneniya yevropeyskoye regional'noye byuro. 2019 r. </w:t>
      </w:r>
      <w:hyperlink r:id="rId15" w:history="1">
        <w:r w:rsidRPr="007D507F">
          <w:rPr>
            <w:rStyle w:val="a6"/>
            <w:rFonts w:ascii="Times New Roman" w:hAnsi="Times New Roman" w:cs="Times New Roman"/>
            <w:color w:val="auto"/>
            <w:sz w:val="24"/>
            <w:szCs w:val="24"/>
            <w:u w:val="none"/>
            <w:lang w:val="en-US"/>
          </w:rPr>
          <w:t>https://www.euro.who.int/__data/assets/pdf_file/0005/412655/GHF_SPS_KGZ_-11-09-2019_RUS_WEB.pdf</w:t>
        </w:r>
      </w:hyperlink>
    </w:p>
    <w:sectPr w:rsidR="00EE1612">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9D49" w16cex:dateUtc="2022-12-20T17:44:00Z"/>
  <w16cex:commentExtensible w16cex:durableId="274C9D55" w16cex:dateUtc="2022-12-20T17:45:00Z"/>
  <w16cex:commentExtensible w16cex:durableId="274C9D7B" w16cex:dateUtc="2022-12-20T17:45:00Z"/>
  <w16cex:commentExtensible w16cex:durableId="274C9DD4" w16cex:dateUtc="2022-12-20T17:47:00Z"/>
  <w16cex:commentExtensible w16cex:durableId="274C9D2C" w16cex:dateUtc="2022-12-20T17:44:00Z"/>
  <w16cex:commentExtensible w16cex:durableId="274C9E3C" w16cex:dateUtc="2022-12-20T17:49:00Z"/>
  <w16cex:commentExtensible w16cex:durableId="274C9E62" w16cex:dateUtc="2022-12-20T17:49:00Z"/>
  <w16cex:commentExtensible w16cex:durableId="274C9E8B" w16cex:dateUtc="2022-12-20T17:50:00Z"/>
  <w16cex:commentExtensible w16cex:durableId="274C9EF2" w16cex:dateUtc="2022-12-20T17:52:00Z"/>
  <w16cex:commentExtensible w16cex:durableId="274C9F41" w16cex:dateUtc="2022-12-20T17:53:00Z"/>
  <w16cex:commentExtensible w16cex:durableId="274C9F8E" w16cex:dateUtc="2022-12-20T17:54:00Z"/>
  <w16cex:commentExtensible w16cex:durableId="274C9FB5" w16cex:dateUtc="2022-12-20T17:55:00Z"/>
  <w16cex:commentExtensible w16cex:durableId="274CA005" w16cex:dateUtc="2022-12-20T17:56:00Z"/>
  <w16cex:commentExtensible w16cex:durableId="274CA089" w16cex:dateUtc="2022-12-20T17:58:00Z"/>
  <w16cex:commentExtensible w16cex:durableId="274CA0CC" w16cex:dateUtc="2022-12-20T17:59:00Z"/>
  <w16cex:commentExtensible w16cex:durableId="274CA135" w16cex:dateUtc="2022-12-20T18:01:00Z"/>
  <w16cex:commentExtensible w16cex:durableId="274CA16B" w16cex:dateUtc="2022-12-20T18:02:00Z"/>
  <w16cex:commentExtensible w16cex:durableId="274CA2D4" w16cex:dateUtc="2022-12-20T18:08:00Z"/>
  <w16cex:commentExtensible w16cex:durableId="274CA33A" w16cex:dateUtc="2022-12-20T18:10:00Z"/>
  <w16cex:commentExtensible w16cex:durableId="274CA35E" w16cex:dateUtc="2022-12-20T18:10:00Z"/>
  <w16cex:commentExtensible w16cex:durableId="274CA39A" w16cex:dateUtc="2022-12-20T18:11:00Z"/>
  <w16cex:commentExtensible w16cex:durableId="274CA411" w16cex:dateUtc="2022-12-20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8C83F" w16cid:durableId="274C9D49"/>
  <w16cid:commentId w16cid:paraId="762F4096" w16cid:durableId="274C9D55"/>
  <w16cid:commentId w16cid:paraId="05ED1B54" w16cid:durableId="274C9D7B"/>
  <w16cid:commentId w16cid:paraId="2E74E651" w16cid:durableId="274C9DD4"/>
  <w16cid:commentId w16cid:paraId="72094C44" w16cid:durableId="274C9D2C"/>
  <w16cid:commentId w16cid:paraId="72EFBA19" w16cid:durableId="274C9E3C"/>
  <w16cid:commentId w16cid:paraId="7D4A07F4" w16cid:durableId="274C9E62"/>
  <w16cid:commentId w16cid:paraId="3B4E3ABB" w16cid:durableId="274C9E8B"/>
  <w16cid:commentId w16cid:paraId="095DE0D3" w16cid:durableId="274C9EF2"/>
  <w16cid:commentId w16cid:paraId="485C97AB" w16cid:durableId="274C9F41"/>
  <w16cid:commentId w16cid:paraId="39153BFB" w16cid:durableId="274C9F8E"/>
  <w16cid:commentId w16cid:paraId="3A22FD63" w16cid:durableId="274C9FB5"/>
  <w16cid:commentId w16cid:paraId="3A3C7574" w16cid:durableId="274CA005"/>
  <w16cid:commentId w16cid:paraId="2E64832A" w16cid:durableId="274CA089"/>
  <w16cid:commentId w16cid:paraId="6FA7A8AE" w16cid:durableId="274CA0CC"/>
  <w16cid:commentId w16cid:paraId="46BBCA62" w16cid:durableId="274CA135"/>
  <w16cid:commentId w16cid:paraId="289D640B" w16cid:durableId="274CA16B"/>
  <w16cid:commentId w16cid:paraId="6D44057B" w16cid:durableId="274CA2D4"/>
  <w16cid:commentId w16cid:paraId="2E728712" w16cid:durableId="274CA33A"/>
  <w16cid:commentId w16cid:paraId="14A0ACDD" w16cid:durableId="274CA35E"/>
  <w16cid:commentId w16cid:paraId="588608A0" w16cid:durableId="274CA39A"/>
  <w16cid:commentId w16cid:paraId="69C1D88B" w16cid:durableId="274CA4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679F6" w14:textId="77777777" w:rsidR="00A02ABF" w:rsidRDefault="00A02ABF" w:rsidP="00BB1EC0">
      <w:pPr>
        <w:spacing w:after="0" w:line="240" w:lineRule="auto"/>
      </w:pPr>
      <w:r>
        <w:separator/>
      </w:r>
    </w:p>
  </w:endnote>
  <w:endnote w:type="continuationSeparator" w:id="0">
    <w:p w14:paraId="2B08A680" w14:textId="77777777" w:rsidR="00A02ABF" w:rsidRDefault="00A02ABF" w:rsidP="00BB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DejaVu Sans">
    <w:altName w:val="Arial"/>
    <w:charset w:val="00"/>
    <w:family w:val="swiss"/>
    <w:pitch w:val="variable"/>
    <w:sig w:usb0="00000000" w:usb1="5200FDFF" w:usb2="0A042021" w:usb3="00000000" w:csb0="000001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63224" w14:textId="77777777" w:rsidR="00A02ABF" w:rsidRDefault="00A02ABF" w:rsidP="00BB1EC0">
      <w:pPr>
        <w:spacing w:after="0" w:line="240" w:lineRule="auto"/>
      </w:pPr>
      <w:r>
        <w:separator/>
      </w:r>
    </w:p>
  </w:footnote>
  <w:footnote w:type="continuationSeparator" w:id="0">
    <w:p w14:paraId="556CE6A8" w14:textId="77777777" w:rsidR="00A02ABF" w:rsidRDefault="00A02ABF" w:rsidP="00BB1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nsid w:val="0F7D5817"/>
    <w:multiLevelType w:val="hybridMultilevel"/>
    <w:tmpl w:val="E174A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A4690"/>
    <w:multiLevelType w:val="hybridMultilevel"/>
    <w:tmpl w:val="8B54875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1AA90B8F"/>
    <w:multiLevelType w:val="hybridMultilevel"/>
    <w:tmpl w:val="E174A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81DFB"/>
    <w:multiLevelType w:val="hybridMultilevel"/>
    <w:tmpl w:val="1F102782"/>
    <w:lvl w:ilvl="0" w:tplc="66006B9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3B1464"/>
    <w:multiLevelType w:val="hybridMultilevel"/>
    <w:tmpl w:val="1940290A"/>
    <w:lvl w:ilvl="0" w:tplc="0419000F">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25596DC4"/>
    <w:multiLevelType w:val="hybridMultilevel"/>
    <w:tmpl w:val="F17A727E"/>
    <w:lvl w:ilvl="0" w:tplc="821CF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06948"/>
    <w:multiLevelType w:val="multilevel"/>
    <w:tmpl w:val="83AE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C12E4"/>
    <w:multiLevelType w:val="hybridMultilevel"/>
    <w:tmpl w:val="6E565A90"/>
    <w:lvl w:ilvl="0" w:tplc="643829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D01E0B"/>
    <w:multiLevelType w:val="hybridMultilevel"/>
    <w:tmpl w:val="2B94565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C105F30"/>
    <w:multiLevelType w:val="hybridMultilevel"/>
    <w:tmpl w:val="11BA912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300211"/>
    <w:multiLevelType w:val="hybridMultilevel"/>
    <w:tmpl w:val="09E0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997CBC"/>
    <w:multiLevelType w:val="hybridMultilevel"/>
    <w:tmpl w:val="013CABDE"/>
    <w:lvl w:ilvl="0" w:tplc="1BF877EC">
      <w:start w:val="7"/>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2"/>
  </w:num>
  <w:num w:numId="6">
    <w:abstractNumId w:val="10"/>
  </w:num>
  <w:num w:numId="7">
    <w:abstractNumId w:val="2"/>
  </w:num>
  <w:num w:numId="8">
    <w:abstractNumId w:val="5"/>
  </w:num>
  <w:num w:numId="9">
    <w:abstractNumId w:val="1"/>
  </w:num>
  <w:num w:numId="10">
    <w:abstractNumId w:val="3"/>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41"/>
    <w:rsid w:val="0000145B"/>
    <w:rsid w:val="0001416C"/>
    <w:rsid w:val="00021F8F"/>
    <w:rsid w:val="00023788"/>
    <w:rsid w:val="000307FF"/>
    <w:rsid w:val="00044316"/>
    <w:rsid w:val="00071795"/>
    <w:rsid w:val="00072C1D"/>
    <w:rsid w:val="0007556E"/>
    <w:rsid w:val="000766C1"/>
    <w:rsid w:val="0008441C"/>
    <w:rsid w:val="000972DC"/>
    <w:rsid w:val="000A05F0"/>
    <w:rsid w:val="000A09DA"/>
    <w:rsid w:val="000A608A"/>
    <w:rsid w:val="000C3EAE"/>
    <w:rsid w:val="000C60C3"/>
    <w:rsid w:val="000D46DE"/>
    <w:rsid w:val="000D4757"/>
    <w:rsid w:val="000E0081"/>
    <w:rsid w:val="000E41A2"/>
    <w:rsid w:val="000E4BD4"/>
    <w:rsid w:val="00103133"/>
    <w:rsid w:val="0010714D"/>
    <w:rsid w:val="001122D8"/>
    <w:rsid w:val="0013783A"/>
    <w:rsid w:val="00140DE5"/>
    <w:rsid w:val="0014147B"/>
    <w:rsid w:val="001431E4"/>
    <w:rsid w:val="00150B3C"/>
    <w:rsid w:val="00151839"/>
    <w:rsid w:val="00161703"/>
    <w:rsid w:val="0016791B"/>
    <w:rsid w:val="0017756E"/>
    <w:rsid w:val="00181585"/>
    <w:rsid w:val="00186BA5"/>
    <w:rsid w:val="001915F7"/>
    <w:rsid w:val="001945C5"/>
    <w:rsid w:val="001C6FE6"/>
    <w:rsid w:val="001E60AF"/>
    <w:rsid w:val="002022D3"/>
    <w:rsid w:val="002126BB"/>
    <w:rsid w:val="00215A31"/>
    <w:rsid w:val="00240352"/>
    <w:rsid w:val="00246FDD"/>
    <w:rsid w:val="002539D7"/>
    <w:rsid w:val="00273499"/>
    <w:rsid w:val="00276C2A"/>
    <w:rsid w:val="00280AF0"/>
    <w:rsid w:val="002834CF"/>
    <w:rsid w:val="00283DCA"/>
    <w:rsid w:val="00296224"/>
    <w:rsid w:val="002A3124"/>
    <w:rsid w:val="002A77F4"/>
    <w:rsid w:val="002B0937"/>
    <w:rsid w:val="002B1FC6"/>
    <w:rsid w:val="002B579A"/>
    <w:rsid w:val="002C7F4E"/>
    <w:rsid w:val="002D563B"/>
    <w:rsid w:val="0031396D"/>
    <w:rsid w:val="00314148"/>
    <w:rsid w:val="003230F1"/>
    <w:rsid w:val="00331945"/>
    <w:rsid w:val="003700A5"/>
    <w:rsid w:val="00370DF9"/>
    <w:rsid w:val="003823F6"/>
    <w:rsid w:val="003957D2"/>
    <w:rsid w:val="003A1178"/>
    <w:rsid w:val="003A14D9"/>
    <w:rsid w:val="003B62CC"/>
    <w:rsid w:val="003C255F"/>
    <w:rsid w:val="003D01E9"/>
    <w:rsid w:val="003E1D12"/>
    <w:rsid w:val="003E461E"/>
    <w:rsid w:val="003F1ECF"/>
    <w:rsid w:val="003F6587"/>
    <w:rsid w:val="004060A3"/>
    <w:rsid w:val="0041007D"/>
    <w:rsid w:val="004377EA"/>
    <w:rsid w:val="00445982"/>
    <w:rsid w:val="00454144"/>
    <w:rsid w:val="004642C3"/>
    <w:rsid w:val="00471DC9"/>
    <w:rsid w:val="00472842"/>
    <w:rsid w:val="00473506"/>
    <w:rsid w:val="00487593"/>
    <w:rsid w:val="004A4FAC"/>
    <w:rsid w:val="004A7EDB"/>
    <w:rsid w:val="004C056B"/>
    <w:rsid w:val="004C1CDF"/>
    <w:rsid w:val="004D03FE"/>
    <w:rsid w:val="004E2F84"/>
    <w:rsid w:val="004F772C"/>
    <w:rsid w:val="0050107D"/>
    <w:rsid w:val="00517682"/>
    <w:rsid w:val="0052159D"/>
    <w:rsid w:val="0052234F"/>
    <w:rsid w:val="00526B4F"/>
    <w:rsid w:val="00537D20"/>
    <w:rsid w:val="00545936"/>
    <w:rsid w:val="005466AD"/>
    <w:rsid w:val="00547ECD"/>
    <w:rsid w:val="00551BAB"/>
    <w:rsid w:val="005557DD"/>
    <w:rsid w:val="0055709E"/>
    <w:rsid w:val="005571A8"/>
    <w:rsid w:val="00560C87"/>
    <w:rsid w:val="00566D69"/>
    <w:rsid w:val="0057505E"/>
    <w:rsid w:val="00583DF3"/>
    <w:rsid w:val="005846DB"/>
    <w:rsid w:val="005A68EB"/>
    <w:rsid w:val="005B6DA3"/>
    <w:rsid w:val="005D4C6F"/>
    <w:rsid w:val="005D5A38"/>
    <w:rsid w:val="005E483B"/>
    <w:rsid w:val="005E4A12"/>
    <w:rsid w:val="005E6652"/>
    <w:rsid w:val="005F569C"/>
    <w:rsid w:val="00604B06"/>
    <w:rsid w:val="00604D1C"/>
    <w:rsid w:val="00612F99"/>
    <w:rsid w:val="00613C61"/>
    <w:rsid w:val="00615ACF"/>
    <w:rsid w:val="006233C2"/>
    <w:rsid w:val="006307EF"/>
    <w:rsid w:val="00645493"/>
    <w:rsid w:val="00651CA9"/>
    <w:rsid w:val="00662CC4"/>
    <w:rsid w:val="00667EF7"/>
    <w:rsid w:val="00690043"/>
    <w:rsid w:val="006A1A67"/>
    <w:rsid w:val="006C5E8A"/>
    <w:rsid w:val="006F418B"/>
    <w:rsid w:val="006F48C5"/>
    <w:rsid w:val="00700962"/>
    <w:rsid w:val="007101D2"/>
    <w:rsid w:val="007256F7"/>
    <w:rsid w:val="00730186"/>
    <w:rsid w:val="00767413"/>
    <w:rsid w:val="00776876"/>
    <w:rsid w:val="00776C5A"/>
    <w:rsid w:val="0079224F"/>
    <w:rsid w:val="007A4293"/>
    <w:rsid w:val="007B5D13"/>
    <w:rsid w:val="007B6DDA"/>
    <w:rsid w:val="007C42A0"/>
    <w:rsid w:val="007D507F"/>
    <w:rsid w:val="007E1198"/>
    <w:rsid w:val="007E61E9"/>
    <w:rsid w:val="007F3B85"/>
    <w:rsid w:val="007F3F6C"/>
    <w:rsid w:val="00812129"/>
    <w:rsid w:val="00812F69"/>
    <w:rsid w:val="008162AB"/>
    <w:rsid w:val="00816BA6"/>
    <w:rsid w:val="00822E2D"/>
    <w:rsid w:val="00823C7D"/>
    <w:rsid w:val="008275EA"/>
    <w:rsid w:val="00845342"/>
    <w:rsid w:val="008527AB"/>
    <w:rsid w:val="008708E8"/>
    <w:rsid w:val="00875153"/>
    <w:rsid w:val="00880896"/>
    <w:rsid w:val="00893343"/>
    <w:rsid w:val="00897724"/>
    <w:rsid w:val="008A5CA3"/>
    <w:rsid w:val="008B30F8"/>
    <w:rsid w:val="008B5059"/>
    <w:rsid w:val="008C2632"/>
    <w:rsid w:val="008C7248"/>
    <w:rsid w:val="008E3514"/>
    <w:rsid w:val="008E740C"/>
    <w:rsid w:val="008F6B5C"/>
    <w:rsid w:val="00901D71"/>
    <w:rsid w:val="00916395"/>
    <w:rsid w:val="009366E2"/>
    <w:rsid w:val="0093775E"/>
    <w:rsid w:val="00955979"/>
    <w:rsid w:val="00960302"/>
    <w:rsid w:val="0097583C"/>
    <w:rsid w:val="009A17B2"/>
    <w:rsid w:val="009C2113"/>
    <w:rsid w:val="009C53BF"/>
    <w:rsid w:val="009D3AE2"/>
    <w:rsid w:val="009D5ECA"/>
    <w:rsid w:val="009E0985"/>
    <w:rsid w:val="009E7094"/>
    <w:rsid w:val="009F03E0"/>
    <w:rsid w:val="00A02ABF"/>
    <w:rsid w:val="00A04AA0"/>
    <w:rsid w:val="00A1210B"/>
    <w:rsid w:val="00A17A7D"/>
    <w:rsid w:val="00A25A82"/>
    <w:rsid w:val="00A61C51"/>
    <w:rsid w:val="00A82BED"/>
    <w:rsid w:val="00A8348E"/>
    <w:rsid w:val="00A84FCF"/>
    <w:rsid w:val="00A93C6B"/>
    <w:rsid w:val="00AC7FB3"/>
    <w:rsid w:val="00AE050E"/>
    <w:rsid w:val="00B01C8F"/>
    <w:rsid w:val="00B07695"/>
    <w:rsid w:val="00B21454"/>
    <w:rsid w:val="00B21894"/>
    <w:rsid w:val="00B21944"/>
    <w:rsid w:val="00B23261"/>
    <w:rsid w:val="00B2368B"/>
    <w:rsid w:val="00B314BE"/>
    <w:rsid w:val="00B31642"/>
    <w:rsid w:val="00B32240"/>
    <w:rsid w:val="00B328B5"/>
    <w:rsid w:val="00B32D18"/>
    <w:rsid w:val="00B34492"/>
    <w:rsid w:val="00B34795"/>
    <w:rsid w:val="00B34D53"/>
    <w:rsid w:val="00B35EC7"/>
    <w:rsid w:val="00B43F4A"/>
    <w:rsid w:val="00B55FCB"/>
    <w:rsid w:val="00B62460"/>
    <w:rsid w:val="00B830A1"/>
    <w:rsid w:val="00B83152"/>
    <w:rsid w:val="00B8350E"/>
    <w:rsid w:val="00B94DD3"/>
    <w:rsid w:val="00BB1EC0"/>
    <w:rsid w:val="00BB3BD9"/>
    <w:rsid w:val="00BC147D"/>
    <w:rsid w:val="00BF339E"/>
    <w:rsid w:val="00BF372E"/>
    <w:rsid w:val="00C043F4"/>
    <w:rsid w:val="00C10A5D"/>
    <w:rsid w:val="00C1186C"/>
    <w:rsid w:val="00C14908"/>
    <w:rsid w:val="00C205B4"/>
    <w:rsid w:val="00C55FC5"/>
    <w:rsid w:val="00C70C24"/>
    <w:rsid w:val="00C717FB"/>
    <w:rsid w:val="00C72AAA"/>
    <w:rsid w:val="00C76326"/>
    <w:rsid w:val="00C830C5"/>
    <w:rsid w:val="00C93E5C"/>
    <w:rsid w:val="00CA39EA"/>
    <w:rsid w:val="00CA4279"/>
    <w:rsid w:val="00CA7154"/>
    <w:rsid w:val="00CC7D94"/>
    <w:rsid w:val="00CD5D48"/>
    <w:rsid w:val="00CE3703"/>
    <w:rsid w:val="00CF63C5"/>
    <w:rsid w:val="00D10231"/>
    <w:rsid w:val="00D1206B"/>
    <w:rsid w:val="00D12785"/>
    <w:rsid w:val="00D21759"/>
    <w:rsid w:val="00D27836"/>
    <w:rsid w:val="00D3032E"/>
    <w:rsid w:val="00D646E0"/>
    <w:rsid w:val="00D76D25"/>
    <w:rsid w:val="00D77247"/>
    <w:rsid w:val="00D853C5"/>
    <w:rsid w:val="00D8587C"/>
    <w:rsid w:val="00D86037"/>
    <w:rsid w:val="00D9647B"/>
    <w:rsid w:val="00D97622"/>
    <w:rsid w:val="00DA0C21"/>
    <w:rsid w:val="00DA69EF"/>
    <w:rsid w:val="00DB1C58"/>
    <w:rsid w:val="00DB25FC"/>
    <w:rsid w:val="00DC7E52"/>
    <w:rsid w:val="00DE183A"/>
    <w:rsid w:val="00DE68B3"/>
    <w:rsid w:val="00DF6B52"/>
    <w:rsid w:val="00DF7BC9"/>
    <w:rsid w:val="00E01B8A"/>
    <w:rsid w:val="00E11EBF"/>
    <w:rsid w:val="00E503F2"/>
    <w:rsid w:val="00E51141"/>
    <w:rsid w:val="00E621D9"/>
    <w:rsid w:val="00E737E6"/>
    <w:rsid w:val="00E82B35"/>
    <w:rsid w:val="00EA3C0A"/>
    <w:rsid w:val="00EC407A"/>
    <w:rsid w:val="00ED082D"/>
    <w:rsid w:val="00EE1612"/>
    <w:rsid w:val="00EF519E"/>
    <w:rsid w:val="00EF5296"/>
    <w:rsid w:val="00EF6BC9"/>
    <w:rsid w:val="00F004A2"/>
    <w:rsid w:val="00F04393"/>
    <w:rsid w:val="00F05B3A"/>
    <w:rsid w:val="00F169E5"/>
    <w:rsid w:val="00F338C2"/>
    <w:rsid w:val="00F61CEF"/>
    <w:rsid w:val="00F77B17"/>
    <w:rsid w:val="00F84B45"/>
    <w:rsid w:val="00F857D4"/>
    <w:rsid w:val="00FA06F9"/>
    <w:rsid w:val="00FB10C4"/>
    <w:rsid w:val="00FB1CE3"/>
    <w:rsid w:val="00FB70D0"/>
    <w:rsid w:val="00FC3F27"/>
    <w:rsid w:val="00FD4AB8"/>
    <w:rsid w:val="00FE5A28"/>
    <w:rsid w:val="00FE723C"/>
    <w:rsid w:val="00FF21B3"/>
    <w:rsid w:val="00FF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3B93"/>
  <w15:docId w15:val="{21B079AF-D836-432D-B3F8-279E6BE7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141"/>
  </w:style>
  <w:style w:type="paragraph" w:styleId="1">
    <w:name w:val="heading 1"/>
    <w:basedOn w:val="a"/>
    <w:next w:val="a0"/>
    <w:link w:val="10"/>
    <w:qFormat/>
    <w:rsid w:val="00E51141"/>
    <w:pPr>
      <w:keepNext/>
      <w:tabs>
        <w:tab w:val="num" w:pos="432"/>
      </w:tabs>
      <w:spacing w:before="227" w:after="113" w:line="240" w:lineRule="auto"/>
      <w:ind w:left="397" w:hanging="397"/>
      <w:outlineLvl w:val="0"/>
    </w:pPr>
    <w:rPr>
      <w:rFonts w:ascii="Times New Roman" w:eastAsia="DejaVu Sans" w:hAnsi="Times New Roman" w:cs="DejaVu Sans"/>
      <w:b/>
      <w:bCs/>
      <w:kern w:val="1"/>
      <w:sz w:val="24"/>
      <w:szCs w:val="32"/>
      <w:lang w:val="en-US" w:eastAsia="hi-IN" w:bidi="hi-IN"/>
    </w:rPr>
  </w:style>
  <w:style w:type="paragraph" w:styleId="2">
    <w:name w:val="heading 2"/>
    <w:basedOn w:val="a"/>
    <w:link w:val="20"/>
    <w:uiPriority w:val="9"/>
    <w:qFormat/>
    <w:rsid w:val="008977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rsid w:val="00E51141"/>
    <w:pPr>
      <w:keepNext/>
      <w:spacing w:before="240" w:after="60" w:line="240" w:lineRule="auto"/>
      <w:outlineLvl w:val="2"/>
    </w:pPr>
    <w:rPr>
      <w:rFonts w:ascii="Arial" w:eastAsia="Times New Roman" w:hAnsi="Arial" w:cs="Arial"/>
      <w:b/>
      <w:bCs/>
      <w:sz w:val="26"/>
      <w:szCs w:val="26"/>
      <w:lang w:val="tr-TR" w:eastAsia="tr-T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897724"/>
    <w:rPr>
      <w:rFonts w:ascii="Times New Roman" w:eastAsia="Times New Roman" w:hAnsi="Times New Roman" w:cs="Times New Roman"/>
      <w:b/>
      <w:bCs/>
      <w:sz w:val="36"/>
      <w:szCs w:val="36"/>
      <w:lang w:eastAsia="ru-RU"/>
    </w:rPr>
  </w:style>
  <w:style w:type="character" w:customStyle="1" w:styleId="10">
    <w:name w:val="Заголовок 1 Знак"/>
    <w:basedOn w:val="a1"/>
    <w:link w:val="1"/>
    <w:rsid w:val="00E51141"/>
    <w:rPr>
      <w:rFonts w:ascii="Times New Roman" w:eastAsia="DejaVu Sans" w:hAnsi="Times New Roman" w:cs="DejaVu Sans"/>
      <w:b/>
      <w:bCs/>
      <w:kern w:val="1"/>
      <w:sz w:val="24"/>
      <w:szCs w:val="32"/>
      <w:lang w:val="en-US" w:eastAsia="hi-IN" w:bidi="hi-IN"/>
    </w:rPr>
  </w:style>
  <w:style w:type="character" w:customStyle="1" w:styleId="30">
    <w:name w:val="Заголовок 3 Знак"/>
    <w:basedOn w:val="a1"/>
    <w:link w:val="3"/>
    <w:rsid w:val="00E51141"/>
    <w:rPr>
      <w:rFonts w:ascii="Arial" w:eastAsia="Times New Roman" w:hAnsi="Arial" w:cs="Arial"/>
      <w:b/>
      <w:bCs/>
      <w:sz w:val="26"/>
      <w:szCs w:val="26"/>
      <w:lang w:val="tr-TR" w:eastAsia="tr-TR"/>
    </w:rPr>
  </w:style>
  <w:style w:type="paragraph" w:styleId="a4">
    <w:name w:val="List Paragraph"/>
    <w:basedOn w:val="a"/>
    <w:uiPriority w:val="34"/>
    <w:qFormat/>
    <w:rsid w:val="00E51141"/>
    <w:pPr>
      <w:ind w:left="720"/>
      <w:contextualSpacing/>
    </w:pPr>
  </w:style>
  <w:style w:type="paragraph" w:styleId="a0">
    <w:name w:val="Body Text"/>
    <w:basedOn w:val="a"/>
    <w:link w:val="a5"/>
    <w:rsid w:val="00E51141"/>
    <w:pPr>
      <w:spacing w:after="120" w:line="240" w:lineRule="auto"/>
      <w:ind w:firstLine="170"/>
      <w:jc w:val="both"/>
    </w:pPr>
    <w:rPr>
      <w:rFonts w:ascii="Times New Roman" w:eastAsia="DejaVu Sans" w:hAnsi="Times New Roman" w:cs="DejaVu Sans"/>
      <w:kern w:val="1"/>
      <w:sz w:val="20"/>
      <w:szCs w:val="24"/>
      <w:lang w:val="en-US" w:eastAsia="hi-IN" w:bidi="hi-IN"/>
    </w:rPr>
  </w:style>
  <w:style w:type="character" w:customStyle="1" w:styleId="a5">
    <w:name w:val="Основной текст Знак"/>
    <w:basedOn w:val="a1"/>
    <w:link w:val="a0"/>
    <w:rsid w:val="00E51141"/>
    <w:rPr>
      <w:rFonts w:ascii="Times New Roman" w:eastAsia="DejaVu Sans" w:hAnsi="Times New Roman" w:cs="DejaVu Sans"/>
      <w:kern w:val="1"/>
      <w:sz w:val="20"/>
      <w:szCs w:val="24"/>
      <w:lang w:val="en-US" w:eastAsia="hi-IN" w:bidi="hi-IN"/>
    </w:rPr>
  </w:style>
  <w:style w:type="paragraph" w:customStyle="1" w:styleId="References">
    <w:name w:val="References"/>
    <w:basedOn w:val="a0"/>
    <w:qFormat/>
    <w:rsid w:val="00E51141"/>
    <w:pPr>
      <w:spacing w:after="57"/>
      <w:ind w:firstLine="0"/>
      <w:jc w:val="left"/>
    </w:pPr>
  </w:style>
  <w:style w:type="character" w:styleId="a6">
    <w:name w:val="Hyperlink"/>
    <w:basedOn w:val="a1"/>
    <w:rsid w:val="00E51141"/>
    <w:rPr>
      <w:color w:val="0000FF"/>
      <w:u w:val="single"/>
    </w:rPr>
  </w:style>
  <w:style w:type="paragraph" w:styleId="a7">
    <w:name w:val="Normal (Web)"/>
    <w:basedOn w:val="a"/>
    <w:uiPriority w:val="99"/>
    <w:rsid w:val="00E51141"/>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a8">
    <w:name w:val="Strong"/>
    <w:basedOn w:val="a1"/>
    <w:uiPriority w:val="22"/>
    <w:qFormat/>
    <w:rsid w:val="00E51141"/>
    <w:rPr>
      <w:b/>
      <w:bCs/>
    </w:rPr>
  </w:style>
  <w:style w:type="character" w:styleId="a9">
    <w:name w:val="Emphasis"/>
    <w:basedOn w:val="a1"/>
    <w:uiPriority w:val="20"/>
    <w:qFormat/>
    <w:rsid w:val="00E51141"/>
    <w:rPr>
      <w:i/>
      <w:iCs/>
    </w:rPr>
  </w:style>
  <w:style w:type="paragraph" w:styleId="aa">
    <w:name w:val="No Spacing"/>
    <w:uiPriority w:val="1"/>
    <w:qFormat/>
    <w:rsid w:val="00E51141"/>
    <w:pPr>
      <w:spacing w:after="0" w:line="240" w:lineRule="auto"/>
    </w:pPr>
  </w:style>
  <w:style w:type="table" w:customStyle="1" w:styleId="TabloKlavuzu1">
    <w:name w:val="Tablo Kılavuzu1"/>
    <w:basedOn w:val="a2"/>
    <w:next w:val="ab"/>
    <w:uiPriority w:val="59"/>
    <w:rsid w:val="00E51141"/>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1">
    <w:name w:val="z1"/>
    <w:basedOn w:val="a"/>
    <w:rsid w:val="00E51141"/>
    <w:pPr>
      <w:spacing w:before="100" w:beforeAutospacing="1" w:after="100" w:afterAutospacing="1" w:line="240" w:lineRule="auto"/>
      <w:jc w:val="center"/>
    </w:pPr>
    <w:rPr>
      <w:rFonts w:ascii="Arial" w:eastAsia="Times New Roman" w:hAnsi="Arial" w:cs="Arial"/>
      <w:b/>
      <w:bCs/>
      <w:color w:val="1A1A1A"/>
      <w:sz w:val="20"/>
      <w:szCs w:val="20"/>
      <w:lang w:val="tr-TR" w:eastAsia="tr-TR"/>
    </w:rPr>
  </w:style>
  <w:style w:type="character" w:customStyle="1" w:styleId="s1">
    <w:name w:val="s1"/>
    <w:basedOn w:val="a1"/>
    <w:rsid w:val="00E51141"/>
  </w:style>
  <w:style w:type="table" w:styleId="ab">
    <w:name w:val="Table Grid"/>
    <w:basedOn w:val="a2"/>
    <w:uiPriority w:val="59"/>
    <w:rsid w:val="00E51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5114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51141"/>
    <w:rPr>
      <w:rFonts w:ascii="Tahoma" w:hAnsi="Tahoma" w:cs="Tahoma"/>
      <w:sz w:val="16"/>
      <w:szCs w:val="16"/>
    </w:rPr>
  </w:style>
  <w:style w:type="paragraph" w:styleId="HTML">
    <w:name w:val="HTML Preformatted"/>
    <w:basedOn w:val="a"/>
    <w:link w:val="HTML0"/>
    <w:uiPriority w:val="99"/>
    <w:unhideWhenUsed/>
    <w:rsid w:val="00B8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8350E"/>
    <w:rPr>
      <w:rFonts w:ascii="Courier New" w:eastAsia="Times New Roman" w:hAnsi="Courier New" w:cs="Courier New"/>
      <w:sz w:val="20"/>
      <w:szCs w:val="20"/>
      <w:lang w:eastAsia="ru-RU"/>
    </w:rPr>
  </w:style>
  <w:style w:type="character" w:customStyle="1" w:styleId="y2iqfc">
    <w:name w:val="y2iqfc"/>
    <w:basedOn w:val="a1"/>
    <w:rsid w:val="00B8350E"/>
  </w:style>
  <w:style w:type="table" w:styleId="ae">
    <w:name w:val="Light Shading"/>
    <w:basedOn w:val="a2"/>
    <w:uiPriority w:val="60"/>
    <w:rsid w:val="001031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annotation reference"/>
    <w:basedOn w:val="a1"/>
    <w:uiPriority w:val="99"/>
    <w:semiHidden/>
    <w:unhideWhenUsed/>
    <w:rsid w:val="004377EA"/>
    <w:rPr>
      <w:sz w:val="16"/>
      <w:szCs w:val="16"/>
    </w:rPr>
  </w:style>
  <w:style w:type="paragraph" w:styleId="af0">
    <w:name w:val="annotation text"/>
    <w:basedOn w:val="a"/>
    <w:link w:val="af1"/>
    <w:uiPriority w:val="99"/>
    <w:semiHidden/>
    <w:unhideWhenUsed/>
    <w:rsid w:val="004377EA"/>
    <w:pPr>
      <w:spacing w:line="240" w:lineRule="auto"/>
    </w:pPr>
    <w:rPr>
      <w:sz w:val="20"/>
      <w:szCs w:val="20"/>
    </w:rPr>
  </w:style>
  <w:style w:type="character" w:customStyle="1" w:styleId="af1">
    <w:name w:val="Текст примечания Знак"/>
    <w:basedOn w:val="a1"/>
    <w:link w:val="af0"/>
    <w:uiPriority w:val="99"/>
    <w:semiHidden/>
    <w:rsid w:val="004377EA"/>
    <w:rPr>
      <w:sz w:val="20"/>
      <w:szCs w:val="20"/>
    </w:rPr>
  </w:style>
  <w:style w:type="paragraph" w:styleId="af2">
    <w:name w:val="annotation subject"/>
    <w:basedOn w:val="af0"/>
    <w:next w:val="af0"/>
    <w:link w:val="af3"/>
    <w:uiPriority w:val="99"/>
    <w:semiHidden/>
    <w:unhideWhenUsed/>
    <w:rsid w:val="004377EA"/>
    <w:rPr>
      <w:b/>
      <w:bCs/>
    </w:rPr>
  </w:style>
  <w:style w:type="character" w:customStyle="1" w:styleId="af3">
    <w:name w:val="Тема примечания Знак"/>
    <w:basedOn w:val="af1"/>
    <w:link w:val="af2"/>
    <w:uiPriority w:val="99"/>
    <w:semiHidden/>
    <w:rsid w:val="004377EA"/>
    <w:rPr>
      <w:b/>
      <w:bCs/>
      <w:sz w:val="20"/>
      <w:szCs w:val="20"/>
    </w:rPr>
  </w:style>
  <w:style w:type="paragraph" w:styleId="af4">
    <w:name w:val="header"/>
    <w:basedOn w:val="a"/>
    <w:link w:val="af5"/>
    <w:uiPriority w:val="99"/>
    <w:unhideWhenUsed/>
    <w:rsid w:val="00BB1EC0"/>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BB1EC0"/>
  </w:style>
  <w:style w:type="paragraph" w:styleId="af6">
    <w:name w:val="footer"/>
    <w:basedOn w:val="a"/>
    <w:link w:val="af7"/>
    <w:uiPriority w:val="99"/>
    <w:unhideWhenUsed/>
    <w:rsid w:val="00BB1EC0"/>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BB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3372">
      <w:bodyDiv w:val="1"/>
      <w:marLeft w:val="0"/>
      <w:marRight w:val="0"/>
      <w:marTop w:val="0"/>
      <w:marBottom w:val="0"/>
      <w:divBdr>
        <w:top w:val="none" w:sz="0" w:space="0" w:color="auto"/>
        <w:left w:val="none" w:sz="0" w:space="0" w:color="auto"/>
        <w:bottom w:val="none" w:sz="0" w:space="0" w:color="auto"/>
        <w:right w:val="none" w:sz="0" w:space="0" w:color="auto"/>
      </w:divBdr>
    </w:div>
    <w:div w:id="98720002">
      <w:bodyDiv w:val="1"/>
      <w:marLeft w:val="0"/>
      <w:marRight w:val="0"/>
      <w:marTop w:val="0"/>
      <w:marBottom w:val="0"/>
      <w:divBdr>
        <w:top w:val="none" w:sz="0" w:space="0" w:color="auto"/>
        <w:left w:val="none" w:sz="0" w:space="0" w:color="auto"/>
        <w:bottom w:val="none" w:sz="0" w:space="0" w:color="auto"/>
        <w:right w:val="none" w:sz="0" w:space="0" w:color="auto"/>
      </w:divBdr>
    </w:div>
    <w:div w:id="133303334">
      <w:bodyDiv w:val="1"/>
      <w:marLeft w:val="0"/>
      <w:marRight w:val="0"/>
      <w:marTop w:val="0"/>
      <w:marBottom w:val="0"/>
      <w:divBdr>
        <w:top w:val="none" w:sz="0" w:space="0" w:color="auto"/>
        <w:left w:val="none" w:sz="0" w:space="0" w:color="auto"/>
        <w:bottom w:val="none" w:sz="0" w:space="0" w:color="auto"/>
        <w:right w:val="none" w:sz="0" w:space="0" w:color="auto"/>
      </w:divBdr>
    </w:div>
    <w:div w:id="237523181">
      <w:bodyDiv w:val="1"/>
      <w:marLeft w:val="0"/>
      <w:marRight w:val="0"/>
      <w:marTop w:val="0"/>
      <w:marBottom w:val="0"/>
      <w:divBdr>
        <w:top w:val="none" w:sz="0" w:space="0" w:color="auto"/>
        <w:left w:val="none" w:sz="0" w:space="0" w:color="auto"/>
        <w:bottom w:val="none" w:sz="0" w:space="0" w:color="auto"/>
        <w:right w:val="none" w:sz="0" w:space="0" w:color="auto"/>
      </w:divBdr>
    </w:div>
    <w:div w:id="273445954">
      <w:bodyDiv w:val="1"/>
      <w:marLeft w:val="0"/>
      <w:marRight w:val="0"/>
      <w:marTop w:val="0"/>
      <w:marBottom w:val="0"/>
      <w:divBdr>
        <w:top w:val="none" w:sz="0" w:space="0" w:color="auto"/>
        <w:left w:val="none" w:sz="0" w:space="0" w:color="auto"/>
        <w:bottom w:val="none" w:sz="0" w:space="0" w:color="auto"/>
        <w:right w:val="none" w:sz="0" w:space="0" w:color="auto"/>
      </w:divBdr>
    </w:div>
    <w:div w:id="359168912">
      <w:bodyDiv w:val="1"/>
      <w:marLeft w:val="0"/>
      <w:marRight w:val="0"/>
      <w:marTop w:val="0"/>
      <w:marBottom w:val="0"/>
      <w:divBdr>
        <w:top w:val="none" w:sz="0" w:space="0" w:color="auto"/>
        <w:left w:val="none" w:sz="0" w:space="0" w:color="auto"/>
        <w:bottom w:val="none" w:sz="0" w:space="0" w:color="auto"/>
        <w:right w:val="none" w:sz="0" w:space="0" w:color="auto"/>
      </w:divBdr>
    </w:div>
    <w:div w:id="526678769">
      <w:bodyDiv w:val="1"/>
      <w:marLeft w:val="0"/>
      <w:marRight w:val="0"/>
      <w:marTop w:val="0"/>
      <w:marBottom w:val="0"/>
      <w:divBdr>
        <w:top w:val="none" w:sz="0" w:space="0" w:color="auto"/>
        <w:left w:val="none" w:sz="0" w:space="0" w:color="auto"/>
        <w:bottom w:val="none" w:sz="0" w:space="0" w:color="auto"/>
        <w:right w:val="none" w:sz="0" w:space="0" w:color="auto"/>
      </w:divBdr>
    </w:div>
    <w:div w:id="580142483">
      <w:bodyDiv w:val="1"/>
      <w:marLeft w:val="0"/>
      <w:marRight w:val="0"/>
      <w:marTop w:val="0"/>
      <w:marBottom w:val="0"/>
      <w:divBdr>
        <w:top w:val="none" w:sz="0" w:space="0" w:color="auto"/>
        <w:left w:val="none" w:sz="0" w:space="0" w:color="auto"/>
        <w:bottom w:val="none" w:sz="0" w:space="0" w:color="auto"/>
        <w:right w:val="none" w:sz="0" w:space="0" w:color="auto"/>
      </w:divBdr>
    </w:div>
    <w:div w:id="581178349">
      <w:bodyDiv w:val="1"/>
      <w:marLeft w:val="0"/>
      <w:marRight w:val="0"/>
      <w:marTop w:val="0"/>
      <w:marBottom w:val="0"/>
      <w:divBdr>
        <w:top w:val="none" w:sz="0" w:space="0" w:color="auto"/>
        <w:left w:val="none" w:sz="0" w:space="0" w:color="auto"/>
        <w:bottom w:val="none" w:sz="0" w:space="0" w:color="auto"/>
        <w:right w:val="none" w:sz="0" w:space="0" w:color="auto"/>
      </w:divBdr>
    </w:div>
    <w:div w:id="588465390">
      <w:bodyDiv w:val="1"/>
      <w:marLeft w:val="0"/>
      <w:marRight w:val="0"/>
      <w:marTop w:val="0"/>
      <w:marBottom w:val="0"/>
      <w:divBdr>
        <w:top w:val="none" w:sz="0" w:space="0" w:color="auto"/>
        <w:left w:val="none" w:sz="0" w:space="0" w:color="auto"/>
        <w:bottom w:val="none" w:sz="0" w:space="0" w:color="auto"/>
        <w:right w:val="none" w:sz="0" w:space="0" w:color="auto"/>
      </w:divBdr>
      <w:divsChild>
        <w:div w:id="773522173">
          <w:marLeft w:val="547"/>
          <w:marRight w:val="0"/>
          <w:marTop w:val="200"/>
          <w:marBottom w:val="0"/>
          <w:divBdr>
            <w:top w:val="none" w:sz="0" w:space="0" w:color="auto"/>
            <w:left w:val="none" w:sz="0" w:space="0" w:color="auto"/>
            <w:bottom w:val="none" w:sz="0" w:space="0" w:color="auto"/>
            <w:right w:val="none" w:sz="0" w:space="0" w:color="auto"/>
          </w:divBdr>
        </w:div>
      </w:divsChild>
    </w:div>
    <w:div w:id="861435278">
      <w:bodyDiv w:val="1"/>
      <w:marLeft w:val="0"/>
      <w:marRight w:val="0"/>
      <w:marTop w:val="0"/>
      <w:marBottom w:val="0"/>
      <w:divBdr>
        <w:top w:val="none" w:sz="0" w:space="0" w:color="auto"/>
        <w:left w:val="none" w:sz="0" w:space="0" w:color="auto"/>
        <w:bottom w:val="none" w:sz="0" w:space="0" w:color="auto"/>
        <w:right w:val="none" w:sz="0" w:space="0" w:color="auto"/>
      </w:divBdr>
    </w:div>
    <w:div w:id="870070567">
      <w:bodyDiv w:val="1"/>
      <w:marLeft w:val="0"/>
      <w:marRight w:val="0"/>
      <w:marTop w:val="0"/>
      <w:marBottom w:val="0"/>
      <w:divBdr>
        <w:top w:val="none" w:sz="0" w:space="0" w:color="auto"/>
        <w:left w:val="none" w:sz="0" w:space="0" w:color="auto"/>
        <w:bottom w:val="none" w:sz="0" w:space="0" w:color="auto"/>
        <w:right w:val="none" w:sz="0" w:space="0" w:color="auto"/>
      </w:divBdr>
    </w:div>
    <w:div w:id="969675340">
      <w:bodyDiv w:val="1"/>
      <w:marLeft w:val="0"/>
      <w:marRight w:val="0"/>
      <w:marTop w:val="0"/>
      <w:marBottom w:val="0"/>
      <w:divBdr>
        <w:top w:val="none" w:sz="0" w:space="0" w:color="auto"/>
        <w:left w:val="none" w:sz="0" w:space="0" w:color="auto"/>
        <w:bottom w:val="none" w:sz="0" w:space="0" w:color="auto"/>
        <w:right w:val="none" w:sz="0" w:space="0" w:color="auto"/>
      </w:divBdr>
    </w:div>
    <w:div w:id="1031033343">
      <w:bodyDiv w:val="1"/>
      <w:marLeft w:val="0"/>
      <w:marRight w:val="0"/>
      <w:marTop w:val="0"/>
      <w:marBottom w:val="0"/>
      <w:divBdr>
        <w:top w:val="none" w:sz="0" w:space="0" w:color="auto"/>
        <w:left w:val="none" w:sz="0" w:space="0" w:color="auto"/>
        <w:bottom w:val="none" w:sz="0" w:space="0" w:color="auto"/>
        <w:right w:val="none" w:sz="0" w:space="0" w:color="auto"/>
      </w:divBdr>
    </w:div>
    <w:div w:id="1302618624">
      <w:bodyDiv w:val="1"/>
      <w:marLeft w:val="0"/>
      <w:marRight w:val="0"/>
      <w:marTop w:val="0"/>
      <w:marBottom w:val="0"/>
      <w:divBdr>
        <w:top w:val="none" w:sz="0" w:space="0" w:color="auto"/>
        <w:left w:val="none" w:sz="0" w:space="0" w:color="auto"/>
        <w:bottom w:val="none" w:sz="0" w:space="0" w:color="auto"/>
        <w:right w:val="none" w:sz="0" w:space="0" w:color="auto"/>
      </w:divBdr>
    </w:div>
    <w:div w:id="1331518927">
      <w:bodyDiv w:val="1"/>
      <w:marLeft w:val="0"/>
      <w:marRight w:val="0"/>
      <w:marTop w:val="0"/>
      <w:marBottom w:val="0"/>
      <w:divBdr>
        <w:top w:val="none" w:sz="0" w:space="0" w:color="auto"/>
        <w:left w:val="none" w:sz="0" w:space="0" w:color="auto"/>
        <w:bottom w:val="none" w:sz="0" w:space="0" w:color="auto"/>
        <w:right w:val="none" w:sz="0" w:space="0" w:color="auto"/>
      </w:divBdr>
    </w:div>
    <w:div w:id="1362436911">
      <w:bodyDiv w:val="1"/>
      <w:marLeft w:val="0"/>
      <w:marRight w:val="0"/>
      <w:marTop w:val="0"/>
      <w:marBottom w:val="0"/>
      <w:divBdr>
        <w:top w:val="none" w:sz="0" w:space="0" w:color="auto"/>
        <w:left w:val="none" w:sz="0" w:space="0" w:color="auto"/>
        <w:bottom w:val="none" w:sz="0" w:space="0" w:color="auto"/>
        <w:right w:val="none" w:sz="0" w:space="0" w:color="auto"/>
      </w:divBdr>
    </w:div>
    <w:div w:id="1374502762">
      <w:bodyDiv w:val="1"/>
      <w:marLeft w:val="0"/>
      <w:marRight w:val="0"/>
      <w:marTop w:val="0"/>
      <w:marBottom w:val="0"/>
      <w:divBdr>
        <w:top w:val="none" w:sz="0" w:space="0" w:color="auto"/>
        <w:left w:val="none" w:sz="0" w:space="0" w:color="auto"/>
        <w:bottom w:val="none" w:sz="0" w:space="0" w:color="auto"/>
        <w:right w:val="none" w:sz="0" w:space="0" w:color="auto"/>
      </w:divBdr>
    </w:div>
    <w:div w:id="1824156433">
      <w:bodyDiv w:val="1"/>
      <w:marLeft w:val="0"/>
      <w:marRight w:val="0"/>
      <w:marTop w:val="0"/>
      <w:marBottom w:val="0"/>
      <w:divBdr>
        <w:top w:val="none" w:sz="0" w:space="0" w:color="auto"/>
        <w:left w:val="none" w:sz="0" w:space="0" w:color="auto"/>
        <w:bottom w:val="none" w:sz="0" w:space="0" w:color="auto"/>
        <w:right w:val="none" w:sz="0" w:space="0" w:color="auto"/>
      </w:divBdr>
    </w:div>
    <w:div w:id="1902863070">
      <w:bodyDiv w:val="1"/>
      <w:marLeft w:val="0"/>
      <w:marRight w:val="0"/>
      <w:marTop w:val="0"/>
      <w:marBottom w:val="0"/>
      <w:divBdr>
        <w:top w:val="none" w:sz="0" w:space="0" w:color="auto"/>
        <w:left w:val="none" w:sz="0" w:space="0" w:color="auto"/>
        <w:bottom w:val="none" w:sz="0" w:space="0" w:color="auto"/>
        <w:right w:val="none" w:sz="0" w:space="0" w:color="auto"/>
      </w:divBdr>
    </w:div>
    <w:div w:id="1919778093">
      <w:bodyDiv w:val="1"/>
      <w:marLeft w:val="0"/>
      <w:marRight w:val="0"/>
      <w:marTop w:val="0"/>
      <w:marBottom w:val="0"/>
      <w:divBdr>
        <w:top w:val="none" w:sz="0" w:space="0" w:color="auto"/>
        <w:left w:val="none" w:sz="0" w:space="0" w:color="auto"/>
        <w:bottom w:val="none" w:sz="0" w:space="0" w:color="auto"/>
        <w:right w:val="none" w:sz="0" w:space="0" w:color="auto"/>
      </w:divBdr>
    </w:div>
    <w:div w:id="2009090282">
      <w:bodyDiv w:val="1"/>
      <w:marLeft w:val="0"/>
      <w:marRight w:val="0"/>
      <w:marTop w:val="0"/>
      <w:marBottom w:val="0"/>
      <w:divBdr>
        <w:top w:val="none" w:sz="0" w:space="0" w:color="auto"/>
        <w:left w:val="none" w:sz="0" w:space="0" w:color="auto"/>
        <w:bottom w:val="none" w:sz="0" w:space="0" w:color="auto"/>
        <w:right w:val="none" w:sz="0" w:space="0" w:color="auto"/>
      </w:divBdr>
    </w:div>
    <w:div w:id="2066367955">
      <w:bodyDiv w:val="1"/>
      <w:marLeft w:val="0"/>
      <w:marRight w:val="0"/>
      <w:marTop w:val="0"/>
      <w:marBottom w:val="0"/>
      <w:divBdr>
        <w:top w:val="none" w:sz="0" w:space="0" w:color="auto"/>
        <w:left w:val="none" w:sz="0" w:space="0" w:color="auto"/>
        <w:bottom w:val="none" w:sz="0" w:space="0" w:color="auto"/>
        <w:right w:val="none" w:sz="0" w:space="0" w:color="auto"/>
      </w:divBdr>
    </w:div>
    <w:div w:id="21086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luch.ru/archive/148/41324/"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8sbemlh7ab4a1m.xn--p1ai/work/377776/Regulirovanie-razvitiya-socialnoj-sfe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nik.krsu.edu.k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chart" Target="charts/chart3.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Лист1!$F$6</c:f>
              <c:strCache>
                <c:ptCount val="1"/>
                <c:pt idx="0">
                  <c:v>Devlet Bütçesi</c:v>
                </c:pt>
              </c:strCache>
            </c:strRef>
          </c:tx>
          <c:marker>
            <c:symbol val="none"/>
          </c:marker>
          <c:cat>
            <c:strRef>
              <c:f>Лист1!$G$3:$M$5</c:f>
              <c:strCache>
                <c:ptCount val="7"/>
                <c:pt idx="0">
                  <c:v>2009</c:v>
                </c:pt>
                <c:pt idx="1">
                  <c:v>2011</c:v>
                </c:pt>
                <c:pt idx="2">
                  <c:v>2013</c:v>
                </c:pt>
                <c:pt idx="3">
                  <c:v>2015</c:v>
                </c:pt>
                <c:pt idx="4">
                  <c:v>2016</c:v>
                </c:pt>
                <c:pt idx="5">
                  <c:v>2018</c:v>
                </c:pt>
                <c:pt idx="6">
                  <c:v>2019</c:v>
                </c:pt>
              </c:strCache>
            </c:strRef>
          </c:cat>
          <c:val>
            <c:numRef>
              <c:f>Лист1!$G$6:$M$6</c:f>
              <c:numCache>
                <c:formatCode>General</c:formatCode>
                <c:ptCount val="7"/>
                <c:pt idx="0">
                  <c:v>4008.3</c:v>
                </c:pt>
                <c:pt idx="1">
                  <c:v>6056.7</c:v>
                </c:pt>
                <c:pt idx="2">
                  <c:v>8481</c:v>
                </c:pt>
                <c:pt idx="3">
                  <c:v>8551.9</c:v>
                </c:pt>
                <c:pt idx="4">
                  <c:v>9081.7999999999993</c:v>
                </c:pt>
                <c:pt idx="5">
                  <c:v>10466.700000000001</c:v>
                </c:pt>
                <c:pt idx="6">
                  <c:v>11129.2</c:v>
                </c:pt>
              </c:numCache>
            </c:numRef>
          </c:val>
          <c:smooth val="0"/>
          <c:extLst xmlns:c16r2="http://schemas.microsoft.com/office/drawing/2015/06/chart">
            <c:ext xmlns:c16="http://schemas.microsoft.com/office/drawing/2014/chart" uri="{C3380CC4-5D6E-409C-BE32-E72D297353CC}">
              <c16:uniqueId val="{00000000-DBCE-4B9A-9DF1-007808E10435}"/>
            </c:ext>
          </c:extLst>
        </c:ser>
        <c:ser>
          <c:idx val="1"/>
          <c:order val="1"/>
          <c:tx>
            <c:strRef>
              <c:f>Лист1!$F$7</c:f>
              <c:strCache>
                <c:ptCount val="1"/>
                <c:pt idx="0">
                  <c:v> Zorunlu Sağlık Sigortası  Fonu</c:v>
                </c:pt>
              </c:strCache>
            </c:strRef>
          </c:tx>
          <c:marker>
            <c:symbol val="none"/>
          </c:marker>
          <c:cat>
            <c:strRef>
              <c:f>Лист1!$G$3:$M$5</c:f>
              <c:strCache>
                <c:ptCount val="7"/>
                <c:pt idx="0">
                  <c:v>2009</c:v>
                </c:pt>
                <c:pt idx="1">
                  <c:v>2011</c:v>
                </c:pt>
                <c:pt idx="2">
                  <c:v>2013</c:v>
                </c:pt>
                <c:pt idx="3">
                  <c:v>2015</c:v>
                </c:pt>
                <c:pt idx="4">
                  <c:v>2016</c:v>
                </c:pt>
                <c:pt idx="5">
                  <c:v>2018</c:v>
                </c:pt>
                <c:pt idx="6">
                  <c:v>2019</c:v>
                </c:pt>
              </c:strCache>
            </c:strRef>
          </c:cat>
          <c:val>
            <c:numRef>
              <c:f>Лист1!$G$7:$M$7</c:f>
              <c:numCache>
                <c:formatCode>General</c:formatCode>
                <c:ptCount val="7"/>
                <c:pt idx="0">
                  <c:v>765.4</c:v>
                </c:pt>
                <c:pt idx="1">
                  <c:v>1062.2</c:v>
                </c:pt>
                <c:pt idx="2">
                  <c:v>1390</c:v>
                </c:pt>
                <c:pt idx="3">
                  <c:v>1855.7</c:v>
                </c:pt>
                <c:pt idx="4">
                  <c:v>1916</c:v>
                </c:pt>
                <c:pt idx="5">
                  <c:v>2328.4</c:v>
                </c:pt>
                <c:pt idx="6">
                  <c:v>2388.3000000000002</c:v>
                </c:pt>
              </c:numCache>
            </c:numRef>
          </c:val>
          <c:smooth val="0"/>
          <c:extLst xmlns:c16r2="http://schemas.microsoft.com/office/drawing/2015/06/chart">
            <c:ext xmlns:c16="http://schemas.microsoft.com/office/drawing/2014/chart" uri="{C3380CC4-5D6E-409C-BE32-E72D297353CC}">
              <c16:uniqueId val="{00000001-DBCE-4B9A-9DF1-007808E10435}"/>
            </c:ext>
          </c:extLst>
        </c:ser>
        <c:ser>
          <c:idx val="2"/>
          <c:order val="2"/>
          <c:tx>
            <c:strRef>
              <c:f>Лист1!$F$8</c:f>
              <c:strCache>
                <c:ptCount val="1"/>
                <c:pt idx="0">
                  <c:v>Özel Fonlar</c:v>
                </c:pt>
              </c:strCache>
            </c:strRef>
          </c:tx>
          <c:marker>
            <c:symbol val="none"/>
          </c:marker>
          <c:cat>
            <c:strRef>
              <c:f>Лист1!$G$3:$M$5</c:f>
              <c:strCache>
                <c:ptCount val="7"/>
                <c:pt idx="0">
                  <c:v>2009</c:v>
                </c:pt>
                <c:pt idx="1">
                  <c:v>2011</c:v>
                </c:pt>
                <c:pt idx="2">
                  <c:v>2013</c:v>
                </c:pt>
                <c:pt idx="3">
                  <c:v>2015</c:v>
                </c:pt>
                <c:pt idx="4">
                  <c:v>2016</c:v>
                </c:pt>
                <c:pt idx="5">
                  <c:v>2018</c:v>
                </c:pt>
                <c:pt idx="6">
                  <c:v>2019</c:v>
                </c:pt>
              </c:strCache>
            </c:strRef>
          </c:cat>
          <c:val>
            <c:numRef>
              <c:f>Лист1!$G$8:$M$8</c:f>
              <c:numCache>
                <c:formatCode>General</c:formatCode>
                <c:ptCount val="7"/>
                <c:pt idx="0">
                  <c:v>333.8</c:v>
                </c:pt>
                <c:pt idx="1">
                  <c:v>434.5</c:v>
                </c:pt>
                <c:pt idx="2">
                  <c:v>660.3</c:v>
                </c:pt>
                <c:pt idx="3">
                  <c:v>924.1</c:v>
                </c:pt>
                <c:pt idx="4">
                  <c:v>1328.5</c:v>
                </c:pt>
                <c:pt idx="5">
                  <c:v>1784.3</c:v>
                </c:pt>
                <c:pt idx="6">
                  <c:v>2213</c:v>
                </c:pt>
              </c:numCache>
            </c:numRef>
          </c:val>
          <c:smooth val="0"/>
          <c:extLst xmlns:c16r2="http://schemas.microsoft.com/office/drawing/2015/06/chart">
            <c:ext xmlns:c16="http://schemas.microsoft.com/office/drawing/2014/chart" uri="{C3380CC4-5D6E-409C-BE32-E72D297353CC}">
              <c16:uniqueId val="{00000002-DBCE-4B9A-9DF1-007808E10435}"/>
            </c:ext>
          </c:extLst>
        </c:ser>
        <c:ser>
          <c:idx val="3"/>
          <c:order val="3"/>
          <c:tx>
            <c:strRef>
              <c:f>Лист1!$F$9</c:f>
              <c:strCache>
                <c:ptCount val="1"/>
                <c:pt idx="0">
                  <c:v>Toplam </c:v>
                </c:pt>
              </c:strCache>
            </c:strRef>
          </c:tx>
          <c:marker>
            <c:symbol val="none"/>
          </c:marker>
          <c:cat>
            <c:strRef>
              <c:f>Лист1!$G$3:$M$5</c:f>
              <c:strCache>
                <c:ptCount val="7"/>
                <c:pt idx="0">
                  <c:v>2009</c:v>
                </c:pt>
                <c:pt idx="1">
                  <c:v>2011</c:v>
                </c:pt>
                <c:pt idx="2">
                  <c:v>2013</c:v>
                </c:pt>
                <c:pt idx="3">
                  <c:v>2015</c:v>
                </c:pt>
                <c:pt idx="4">
                  <c:v>2016</c:v>
                </c:pt>
                <c:pt idx="5">
                  <c:v>2018</c:v>
                </c:pt>
                <c:pt idx="6">
                  <c:v>2019</c:v>
                </c:pt>
              </c:strCache>
            </c:strRef>
          </c:cat>
          <c:val>
            <c:numRef>
              <c:f>Лист1!$G$9:$M$9</c:f>
              <c:numCache>
                <c:formatCode>General</c:formatCode>
                <c:ptCount val="7"/>
                <c:pt idx="0">
                  <c:v>5107.5</c:v>
                </c:pt>
                <c:pt idx="1">
                  <c:v>7553.4</c:v>
                </c:pt>
                <c:pt idx="2">
                  <c:v>10531.3</c:v>
                </c:pt>
                <c:pt idx="3">
                  <c:v>11331.7</c:v>
                </c:pt>
                <c:pt idx="4">
                  <c:v>12326.3</c:v>
                </c:pt>
                <c:pt idx="5">
                  <c:v>14579.4</c:v>
                </c:pt>
                <c:pt idx="6">
                  <c:v>15730.5</c:v>
                </c:pt>
              </c:numCache>
            </c:numRef>
          </c:val>
          <c:smooth val="0"/>
          <c:extLst xmlns:c16r2="http://schemas.microsoft.com/office/drawing/2015/06/chart">
            <c:ext xmlns:c16="http://schemas.microsoft.com/office/drawing/2014/chart" uri="{C3380CC4-5D6E-409C-BE32-E72D297353CC}">
              <c16:uniqueId val="{00000003-DBCE-4B9A-9DF1-007808E10435}"/>
            </c:ext>
          </c:extLst>
        </c:ser>
        <c:dLbls>
          <c:showLegendKey val="0"/>
          <c:showVal val="0"/>
          <c:showCatName val="0"/>
          <c:showSerName val="0"/>
          <c:showPercent val="0"/>
          <c:showBubbleSize val="0"/>
        </c:dLbls>
        <c:smooth val="0"/>
        <c:axId val="404696880"/>
        <c:axId val="404698448"/>
      </c:lineChart>
      <c:catAx>
        <c:axId val="404696880"/>
        <c:scaling>
          <c:orientation val="minMax"/>
        </c:scaling>
        <c:delete val="0"/>
        <c:axPos val="b"/>
        <c:numFmt formatCode="General" sourceLinked="0"/>
        <c:majorTickMark val="out"/>
        <c:minorTickMark val="none"/>
        <c:tickLblPos val="nextTo"/>
        <c:crossAx val="404698448"/>
        <c:crosses val="autoZero"/>
        <c:auto val="1"/>
        <c:lblAlgn val="ctr"/>
        <c:lblOffset val="100"/>
        <c:noMultiLvlLbl val="0"/>
      </c:catAx>
      <c:valAx>
        <c:axId val="404698448"/>
        <c:scaling>
          <c:orientation val="minMax"/>
          <c:max val="16000"/>
        </c:scaling>
        <c:delete val="0"/>
        <c:axPos val="l"/>
        <c:majorGridlines/>
        <c:title>
          <c:tx>
            <c:rich>
              <a:bodyPr/>
              <a:lstStyle/>
              <a:p>
                <a:pPr>
                  <a:defRPr b="0"/>
                </a:pPr>
                <a:r>
                  <a:rPr lang="en-US" b="0"/>
                  <a:t>Milyon </a:t>
                </a:r>
                <a:r>
                  <a:rPr lang="tr-TR" b="0"/>
                  <a:t> </a:t>
                </a:r>
                <a:r>
                  <a:rPr lang="en-US" b="0"/>
                  <a:t>Som</a:t>
                </a:r>
              </a:p>
            </c:rich>
          </c:tx>
          <c:layout>
            <c:manualLayout>
              <c:xMode val="edge"/>
              <c:yMode val="edge"/>
              <c:x val="0.22793800533387432"/>
              <c:y val="0.13874458000442252"/>
            </c:manualLayout>
          </c:layout>
          <c:overlay val="0"/>
        </c:title>
        <c:numFmt formatCode="General" sourceLinked="1"/>
        <c:majorTickMark val="none"/>
        <c:minorTickMark val="none"/>
        <c:tickLblPos val="nextTo"/>
        <c:crossAx val="404696880"/>
        <c:crosses val="autoZero"/>
        <c:crossBetween val="between"/>
        <c:majorUnit val="2000"/>
        <c:minorUnit val="1000"/>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Лист1!$F$23</c:f>
              <c:strCache>
                <c:ptCount val="1"/>
                <c:pt idx="0">
                  <c:v>Sağlık sistemine giden devlet bütçe harcamaları (mln. Som)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Лист1!$G$22:$K$22</c:f>
              <c:numCache>
                <c:formatCode>General</c:formatCode>
                <c:ptCount val="5"/>
                <c:pt idx="0">
                  <c:v>2015</c:v>
                </c:pt>
                <c:pt idx="1">
                  <c:v>2016</c:v>
                </c:pt>
                <c:pt idx="2">
                  <c:v>2017</c:v>
                </c:pt>
                <c:pt idx="3">
                  <c:v>2018</c:v>
                </c:pt>
                <c:pt idx="4">
                  <c:v>2019</c:v>
                </c:pt>
              </c:numCache>
            </c:numRef>
          </c:cat>
          <c:val>
            <c:numRef>
              <c:f>Лист1!$G$23:$K$23</c:f>
              <c:numCache>
                <c:formatCode>General</c:formatCode>
                <c:ptCount val="5"/>
                <c:pt idx="0">
                  <c:v>13270</c:v>
                </c:pt>
                <c:pt idx="1">
                  <c:v>13897</c:v>
                </c:pt>
                <c:pt idx="2">
                  <c:v>17325</c:v>
                </c:pt>
                <c:pt idx="3">
                  <c:v>14589</c:v>
                </c:pt>
                <c:pt idx="4">
                  <c:v>14609</c:v>
                </c:pt>
              </c:numCache>
            </c:numRef>
          </c:val>
          <c:extLst xmlns:c16r2="http://schemas.microsoft.com/office/drawing/2015/06/chart">
            <c:ext xmlns:c16="http://schemas.microsoft.com/office/drawing/2014/chart" uri="{C3380CC4-5D6E-409C-BE32-E72D297353CC}">
              <c16:uniqueId val="{00000000-73CF-4EAD-A90B-FA34B27F054E}"/>
            </c:ext>
          </c:extLst>
        </c:ser>
        <c:dLbls>
          <c:showLegendKey val="0"/>
          <c:showVal val="1"/>
          <c:showCatName val="0"/>
          <c:showSerName val="0"/>
          <c:showPercent val="0"/>
          <c:showBubbleSize val="0"/>
        </c:dLbls>
        <c:gapWidth val="75"/>
        <c:axId val="402538472"/>
        <c:axId val="402538864"/>
      </c:barChart>
      <c:lineChart>
        <c:grouping val="standard"/>
        <c:varyColors val="0"/>
        <c:ser>
          <c:idx val="1"/>
          <c:order val="1"/>
          <c:tx>
            <c:strRef>
              <c:f>Лист1!$F$24</c:f>
              <c:strCache>
                <c:ptCount val="1"/>
                <c:pt idx="0">
                  <c:v>Genel devlet harcamaların yapısında sağlık sistemine giden devlet harcamaların payı </c:v>
                </c:pt>
              </c:strCache>
            </c:strRef>
          </c:tx>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Лист1!$G$22:$K$22</c:f>
              <c:numCache>
                <c:formatCode>General</c:formatCode>
                <c:ptCount val="5"/>
                <c:pt idx="0">
                  <c:v>2015</c:v>
                </c:pt>
                <c:pt idx="1">
                  <c:v>2016</c:v>
                </c:pt>
                <c:pt idx="2">
                  <c:v>2017</c:v>
                </c:pt>
                <c:pt idx="3">
                  <c:v>2018</c:v>
                </c:pt>
                <c:pt idx="4">
                  <c:v>2019</c:v>
                </c:pt>
              </c:numCache>
            </c:numRef>
          </c:cat>
          <c:val>
            <c:numRef>
              <c:f>Лист1!$G$24:$K$24</c:f>
              <c:numCache>
                <c:formatCode>0.0%</c:formatCode>
                <c:ptCount val="5"/>
                <c:pt idx="0">
                  <c:v>9.9000000000000005E-2</c:v>
                </c:pt>
                <c:pt idx="1">
                  <c:v>9.1999999999999998E-2</c:v>
                </c:pt>
                <c:pt idx="2">
                  <c:v>0.104</c:v>
                </c:pt>
                <c:pt idx="3">
                  <c:v>9.1999999999999998E-2</c:v>
                </c:pt>
                <c:pt idx="4">
                  <c:v>8.6999999999999994E-2</c:v>
                </c:pt>
              </c:numCache>
            </c:numRef>
          </c:val>
          <c:smooth val="0"/>
          <c:extLst xmlns:c16r2="http://schemas.microsoft.com/office/drawing/2015/06/chart">
            <c:ext xmlns:c16="http://schemas.microsoft.com/office/drawing/2014/chart" uri="{C3380CC4-5D6E-409C-BE32-E72D297353CC}">
              <c16:uniqueId val="{00000001-73CF-4EAD-A90B-FA34B27F054E}"/>
            </c:ext>
          </c:extLst>
        </c:ser>
        <c:dLbls>
          <c:showLegendKey val="0"/>
          <c:showVal val="0"/>
          <c:showCatName val="0"/>
          <c:showSerName val="0"/>
          <c:showPercent val="0"/>
          <c:showBubbleSize val="0"/>
        </c:dLbls>
        <c:marker val="1"/>
        <c:smooth val="0"/>
        <c:axId val="402540040"/>
        <c:axId val="402539648"/>
      </c:lineChart>
      <c:catAx>
        <c:axId val="402538472"/>
        <c:scaling>
          <c:orientation val="minMax"/>
        </c:scaling>
        <c:delete val="0"/>
        <c:axPos val="b"/>
        <c:numFmt formatCode="General" sourceLinked="1"/>
        <c:majorTickMark val="out"/>
        <c:minorTickMark val="none"/>
        <c:tickLblPos val="nextTo"/>
        <c:crossAx val="402538864"/>
        <c:crosses val="autoZero"/>
        <c:auto val="1"/>
        <c:lblAlgn val="ctr"/>
        <c:lblOffset val="100"/>
        <c:noMultiLvlLbl val="0"/>
      </c:catAx>
      <c:valAx>
        <c:axId val="402538864"/>
        <c:scaling>
          <c:orientation val="minMax"/>
        </c:scaling>
        <c:delete val="0"/>
        <c:axPos val="l"/>
        <c:numFmt formatCode="General" sourceLinked="1"/>
        <c:majorTickMark val="none"/>
        <c:minorTickMark val="none"/>
        <c:tickLblPos val="nextTo"/>
        <c:crossAx val="402538472"/>
        <c:crosses val="autoZero"/>
        <c:crossBetween val="between"/>
      </c:valAx>
      <c:valAx>
        <c:axId val="402539648"/>
        <c:scaling>
          <c:orientation val="minMax"/>
        </c:scaling>
        <c:delete val="0"/>
        <c:axPos val="r"/>
        <c:numFmt formatCode="0.0%" sourceLinked="1"/>
        <c:majorTickMark val="out"/>
        <c:minorTickMark val="none"/>
        <c:tickLblPos val="nextTo"/>
        <c:crossAx val="402540040"/>
        <c:crosses val="max"/>
        <c:crossBetween val="between"/>
      </c:valAx>
      <c:catAx>
        <c:axId val="402540040"/>
        <c:scaling>
          <c:orientation val="minMax"/>
        </c:scaling>
        <c:delete val="1"/>
        <c:axPos val="b"/>
        <c:numFmt formatCode="General" sourceLinked="1"/>
        <c:majorTickMark val="out"/>
        <c:minorTickMark val="none"/>
        <c:tickLblPos val="nextTo"/>
        <c:crossAx val="40253964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9.2976177977752775E-2"/>
          <c:y val="0.20266340776950709"/>
          <c:w val="0.76786892581743871"/>
          <c:h val="0.74240177017368481"/>
        </c:manualLayout>
      </c:layout>
      <c:pieChart>
        <c:varyColors val="1"/>
        <c:ser>
          <c:idx val="0"/>
          <c:order val="0"/>
          <c:dPt>
            <c:idx val="1"/>
            <c:bubble3D val="0"/>
            <c:explosion val="15"/>
            <c:extLst xmlns:c16r2="http://schemas.microsoft.com/office/drawing/2015/06/chart">
              <c:ext xmlns:c16="http://schemas.microsoft.com/office/drawing/2014/chart" uri="{C3380CC4-5D6E-409C-BE32-E72D297353CC}">
                <c16:uniqueId val="{00000001-D338-4A6A-81DB-3F354313F4F8}"/>
              </c:ext>
            </c:extLst>
          </c:dPt>
          <c:dLbls>
            <c:dLbl>
              <c:idx val="0"/>
              <c:layout>
                <c:manualLayout>
                  <c:x val="0.164284864391951"/>
                  <c:y val="0.16004685082117179"/>
                </c:manualLayout>
              </c:layout>
              <c:tx>
                <c:rich>
                  <a:bodyPr/>
                  <a:lstStyle/>
                  <a:p>
                    <a:pPr>
                      <a:defRPr sz="1000" b="0">
                        <a:latin typeface="Times New Roman" panose="02020603050405020304" pitchFamily="18" charset="0"/>
                        <a:cs typeface="Times New Roman" panose="02020603050405020304" pitchFamily="18" charset="0"/>
                      </a:defRPr>
                    </a:pPr>
                    <a:r>
                      <a:rPr lang="en-US" sz="1000" b="0" baseline="0">
                        <a:latin typeface="Times New Roman" panose="02020603050405020304" pitchFamily="18" charset="0"/>
                        <a:cs typeface="Times New Roman" panose="02020603050405020304" pitchFamily="18" charset="0"/>
                      </a:rPr>
                      <a:t>K</a:t>
                    </a:r>
                    <a:r>
                      <a:rPr lang="en-US" sz="1000" b="0">
                        <a:latin typeface="Times New Roman" panose="02020603050405020304" pitchFamily="18" charset="0"/>
                        <a:cs typeface="Times New Roman" panose="02020603050405020304" pitchFamily="18" charset="0"/>
                      </a:rPr>
                      <a:t>ullanılmayan fonların kalanı; 7,00%</a:t>
                    </a:r>
                    <a:endParaRPr lang="en-US" sz="1100" b="1"/>
                  </a:p>
                </c:rich>
              </c:tx>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D338-4A6A-81DB-3F354313F4F8}"/>
                </c:ext>
                <c:ext xmlns:c15="http://schemas.microsoft.com/office/drawing/2012/chart" uri="{CE6537A1-D6FC-4f65-9D91-7224C49458BB}"/>
              </c:extLst>
            </c:dLbl>
            <c:dLbl>
              <c:idx val="1"/>
              <c:layout>
                <c:manualLayout>
                  <c:x val="0.13031786475542331"/>
                  <c:y val="-0.15606393966097198"/>
                </c:manualLayout>
              </c:layout>
              <c:tx>
                <c:rich>
                  <a:bodyPr/>
                  <a:lstStyle/>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Devlet katkısı; 70,50%</a:t>
                    </a:r>
                    <a:endParaRPr lang="en-US" sz="1100" b="1"/>
                  </a:p>
                </c:rich>
              </c:tx>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D338-4A6A-81DB-3F354313F4F8}"/>
                </c:ext>
                <c:ext xmlns:c15="http://schemas.microsoft.com/office/drawing/2012/chart" uri="{CE6537A1-D6FC-4f65-9D91-7224C49458BB}"/>
              </c:extLst>
            </c:dLbl>
            <c:dLbl>
              <c:idx val="2"/>
              <c:layout>
                <c:manualLayout>
                  <c:x val="-7.2072072072072071E-2"/>
                  <c:y val="0.2293488824101069"/>
                </c:manualLayout>
              </c:layout>
              <c:tx>
                <c:rich>
                  <a:bodyPr/>
                  <a:lstStyle/>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 Zorunlu Sağlık Sigortası</a:t>
                    </a:r>
                    <a:r>
                      <a:rPr lang="en-US" sz="1000" b="0" baseline="0">
                        <a:latin typeface="Times New Roman" panose="02020603050405020304" pitchFamily="18" charset="0"/>
                        <a:cs typeface="Times New Roman" panose="02020603050405020304" pitchFamily="18" charset="0"/>
                      </a:rPr>
                      <a:t> Fonu; 15,23%</a:t>
                    </a:r>
                    <a:endParaRPr lang="en-US" sz="1100" baseline="0"/>
                  </a:p>
                </c:rich>
              </c:tx>
              <c:sp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D338-4A6A-81DB-3F354313F4F8}"/>
                </c:ext>
                <c:ext xmlns:c15="http://schemas.microsoft.com/office/drawing/2012/chart" uri="{CE6537A1-D6FC-4f65-9D91-7224C49458BB}"/>
              </c:extLst>
            </c:dLbl>
            <c:dLbl>
              <c:idx val="3"/>
              <c:layout>
                <c:manualLayout>
                  <c:x val="-0.15604199475065619"/>
                  <c:y val="2.9785973360550461E-2"/>
                </c:manualLayout>
              </c:layout>
              <c:tx>
                <c:rich>
                  <a:bodyPr/>
                  <a:lstStyle/>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  </a:t>
                    </a:r>
                  </a:p>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Katkı</a:t>
                    </a:r>
                    <a:r>
                      <a:rPr lang="en-US" sz="1000" b="0" baseline="0">
                        <a:latin typeface="Times New Roman" panose="02020603050405020304" pitchFamily="18" charset="0"/>
                        <a:cs typeface="Times New Roman" panose="02020603050405020304" pitchFamily="18" charset="0"/>
                      </a:rPr>
                      <a:t> payı</a:t>
                    </a:r>
                    <a:r>
                      <a:rPr lang="en-US" sz="1000" b="0">
                        <a:latin typeface="Times New Roman" panose="02020603050405020304" pitchFamily="18" charset="0"/>
                        <a:cs typeface="Times New Roman" panose="02020603050405020304" pitchFamily="18" charset="0"/>
                      </a:rPr>
                      <a:t>; 3,62%</a:t>
                    </a:r>
                    <a:endParaRPr lang="en-US" sz="1100" b="1"/>
                  </a:p>
                </c:rich>
              </c:tx>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D338-4A6A-81DB-3F354313F4F8}"/>
                </c:ext>
                <c:ext xmlns:c15="http://schemas.microsoft.com/office/drawing/2012/chart" uri="{CE6537A1-D6FC-4f65-9D91-7224C49458BB}"/>
              </c:extLst>
            </c:dLbl>
            <c:dLbl>
              <c:idx val="4"/>
              <c:layout>
                <c:manualLayout>
                  <c:x val="-5.3811840186643339E-2"/>
                  <c:y val="-1.4145143557794728E-4"/>
                </c:manualLayout>
              </c:layout>
              <c:tx>
                <c:rich>
                  <a:bodyPr/>
                  <a:lstStyle/>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Ücretli</a:t>
                    </a:r>
                    <a:r>
                      <a:rPr lang="en-US" sz="1000" b="0" baseline="0">
                        <a:latin typeface="Times New Roman" panose="02020603050405020304" pitchFamily="18" charset="0"/>
                        <a:cs typeface="Times New Roman" panose="02020603050405020304" pitchFamily="18" charset="0"/>
                      </a:rPr>
                      <a:t> hizmetler</a:t>
                    </a:r>
                    <a:r>
                      <a:rPr lang="en-US" sz="1000" b="0">
                        <a:latin typeface="Times New Roman" panose="02020603050405020304" pitchFamily="18" charset="0"/>
                        <a:cs typeface="Times New Roman" panose="02020603050405020304" pitchFamily="18" charset="0"/>
                      </a:rPr>
                      <a:t>; 3,57%</a:t>
                    </a:r>
                    <a:endParaRPr lang="en-US" sz="1100" b="1"/>
                  </a:p>
                </c:rich>
              </c:tx>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D338-4A6A-81DB-3F354313F4F8}"/>
                </c:ext>
                <c:ext xmlns:c15="http://schemas.microsoft.com/office/drawing/2012/chart" uri="{CE6537A1-D6FC-4f65-9D91-7224C49458BB}"/>
              </c:extLst>
            </c:dLbl>
            <c:dLbl>
              <c:idx val="5"/>
              <c:layout>
                <c:manualLayout>
                  <c:x val="6.7715135608048885E-2"/>
                  <c:y val="-5.1984258818452388E-3"/>
                </c:manualLayout>
              </c:layout>
              <c:tx>
                <c:rich>
                  <a:bodyPr/>
                  <a:lstStyle/>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Diğer gelirler; 0,09%</a:t>
                    </a:r>
                    <a:endParaRPr lang="en-US" sz="1100" b="1"/>
                  </a:p>
                </c:rich>
              </c:tx>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D338-4A6A-81DB-3F354313F4F8}"/>
                </c:ext>
                <c:ext xmlns:c15="http://schemas.microsoft.com/office/drawing/2012/chart" uri="{CE6537A1-D6FC-4f65-9D91-7224C49458BB}"/>
              </c:extLst>
            </c:dLbl>
            <c:spPr>
              <a:noFill/>
              <a:ln>
                <a:noFill/>
              </a:ln>
              <a:effectLst/>
            </c:spPr>
            <c:txPr>
              <a:bodyPr/>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Лист1!$B$23:$B$28</c:f>
              <c:strCache>
                <c:ptCount val="6"/>
                <c:pt idx="0">
                  <c:v>Колдонбогон каражаттардын калдыгы / Kullanılmayan fonların kalanı</c:v>
                </c:pt>
                <c:pt idx="1">
                  <c:v>Республикалык бюджет / Devlet Bütçesi</c:v>
                </c:pt>
                <c:pt idx="2">
                  <c:v>ФОМС / Zorunlu Sağlık Sigortası Fonu</c:v>
                </c:pt>
                <c:pt idx="3">
                  <c:v>Кошумча төлөө / Ek ödeme</c:v>
                </c:pt>
                <c:pt idx="4">
                  <c:v>Жеке каражаттар / Özel fonlar</c:v>
                </c:pt>
                <c:pt idx="5">
                  <c:v>Башка кирешелер / Diğer gelirler</c:v>
                </c:pt>
              </c:strCache>
            </c:strRef>
          </c:cat>
          <c:val>
            <c:numRef>
              <c:f>Лист1!$C$23:$C$28</c:f>
              <c:numCache>
                <c:formatCode>0.00%</c:formatCode>
                <c:ptCount val="6"/>
                <c:pt idx="0">
                  <c:v>6.9963764310471632E-2</c:v>
                </c:pt>
                <c:pt idx="1">
                  <c:v>0.70496796554983721</c:v>
                </c:pt>
                <c:pt idx="2">
                  <c:v>0.15229492700346609</c:v>
                </c:pt>
                <c:pt idx="3">
                  <c:v>3.6215996218884591E-2</c:v>
                </c:pt>
                <c:pt idx="4">
                  <c:v>3.5684276861674219E-2</c:v>
                </c:pt>
                <c:pt idx="5">
                  <c:v>8.7307005566642241E-4</c:v>
                </c:pt>
              </c:numCache>
            </c:numRef>
          </c:val>
          <c:extLst xmlns:c16r2="http://schemas.microsoft.com/office/drawing/2015/06/chart">
            <c:ext xmlns:c16="http://schemas.microsoft.com/office/drawing/2014/chart" uri="{C3380CC4-5D6E-409C-BE32-E72D297353CC}">
              <c16:uniqueId val="{00000006-D338-4A6A-81DB-3F354313F4F8}"/>
            </c:ext>
          </c:extLst>
        </c:ser>
        <c:dLbls>
          <c:showLegendKey val="0"/>
          <c:showVal val="1"/>
          <c:showCatName val="1"/>
          <c:showSerName val="0"/>
          <c:showPercent val="0"/>
          <c:showBubbleSize val="0"/>
          <c:showLeaderLines val="1"/>
        </c:dLbls>
        <c:firstSliceAng val="10"/>
      </c:pieChart>
      <c:spPr>
        <a:noFill/>
        <a:ln w="25400">
          <a:noFill/>
        </a:ln>
      </c:spPr>
    </c:plotArea>
    <c:plotVisOnly val="1"/>
    <c:dispBlanksAs val="zero"/>
    <c:showDLblsOverMax val="0"/>
  </c:chart>
  <c:spPr>
    <a:ln>
      <a:noFill/>
    </a:ln>
  </c:spPr>
  <c:txPr>
    <a:bodyPr/>
    <a:lstStyle/>
    <a:p>
      <a:pPr>
        <a:defRPr sz="1800"/>
      </a:pPr>
      <a:endParaRPr lang="ru-RU"/>
    </a:p>
  </c:tx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1AE2-BA77-4FE6-9F1F-15DE6350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6651</Words>
  <Characters>37913</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44476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cp:revision>
  <dcterms:created xsi:type="dcterms:W3CDTF">2022-12-25T21:42:00Z</dcterms:created>
  <dcterms:modified xsi:type="dcterms:W3CDTF">2022-12-25T21:42:00Z</dcterms:modified>
</cp:coreProperties>
</file>