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448D13D1" w:rsidR="00E65697" w:rsidRPr="006C2B6A" w:rsidRDefault="006C2B6A" w:rsidP="00E65697">
      <w:pPr>
        <w:suppressAutoHyphens/>
        <w:spacing w:after="120" w:line="240" w:lineRule="auto"/>
        <w:ind w:firstLine="142"/>
        <w:jc w:val="center"/>
        <w:rPr>
          <w:rFonts w:ascii="Times New Roman" w:hAnsi="Times New Roman" w:cs="Times New Roman"/>
          <w:b/>
          <w:bCs/>
          <w:sz w:val="28"/>
          <w:szCs w:val="28"/>
          <w:lang w:val="en-US"/>
        </w:rPr>
      </w:pPr>
      <w:bookmarkStart w:id="0" w:name="_Toc11945247"/>
      <w:r w:rsidRPr="006C2B6A">
        <w:rPr>
          <w:rFonts w:ascii="Times New Roman" w:hAnsi="Times New Roman" w:cs="Times New Roman"/>
          <w:b/>
          <w:bCs/>
          <w:sz w:val="28"/>
          <w:szCs w:val="28"/>
          <w:lang w:val="en-US"/>
        </w:rPr>
        <w:t>An Empirical Study on Industry, Management, Services, Agriculture, Manufacturing, Growth, Political Policy, Finance and Businesses</w:t>
      </w:r>
    </w:p>
    <w:p w14:paraId="14A61CF4" w14:textId="77777777" w:rsidR="00E65697" w:rsidRPr="006C2B6A" w:rsidRDefault="00E65697" w:rsidP="00E65697">
      <w:pPr>
        <w:suppressAutoHyphens/>
        <w:spacing w:after="120" w:line="240" w:lineRule="exact"/>
        <w:ind w:right="57"/>
        <w:jc w:val="both"/>
        <w:rPr>
          <w:rFonts w:ascii="Times New Roman" w:hAnsi="Times New Roman" w:cs="Times New Roman"/>
          <w:b/>
          <w:bCs/>
          <w:spacing w:val="-2"/>
          <w:kern w:val="16"/>
          <w:sz w:val="18"/>
          <w:szCs w:val="18"/>
          <w:lang w:val="en-US"/>
        </w:rPr>
      </w:pPr>
      <w:r w:rsidRPr="006C2B6A">
        <w:rPr>
          <w:rFonts w:ascii="Times New Roman" w:hAnsi="Times New Roman" w:cs="Times New Roman"/>
          <w:b/>
          <w:bCs/>
          <w:spacing w:val="-2"/>
          <w:kern w:val="16"/>
          <w:sz w:val="18"/>
          <w:szCs w:val="18"/>
          <w:lang w:val="en-US"/>
        </w:rPr>
        <w:t>Abstract</w:t>
      </w:r>
    </w:p>
    <w:p w14:paraId="1A985AD4" w14:textId="5A0B5993" w:rsidR="00AB55A0" w:rsidRPr="006C2B6A" w:rsidRDefault="00AB55A0" w:rsidP="00AB55A0">
      <w:pPr>
        <w:suppressAutoHyphens/>
        <w:spacing w:before="120" w:after="120" w:line="240" w:lineRule="exact"/>
        <w:jc w:val="both"/>
        <w:rPr>
          <w:rFonts w:ascii="Times New Roman" w:hAnsi="Times New Roman" w:cs="Times New Roman"/>
          <w:spacing w:val="-2"/>
          <w:kern w:val="16"/>
          <w:sz w:val="18"/>
          <w:szCs w:val="18"/>
          <w:lang w:val="en-US"/>
        </w:rPr>
      </w:pPr>
      <w:r w:rsidRPr="006C2B6A">
        <w:rPr>
          <w:rFonts w:ascii="Times New Roman" w:hAnsi="Times New Roman" w:cs="Times New Roman"/>
          <w:spacing w:val="-2"/>
          <w:kern w:val="16"/>
          <w:sz w:val="18"/>
          <w:szCs w:val="18"/>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6C2B6A">
        <w:rPr>
          <w:rFonts w:ascii="Times New Roman" w:hAnsi="Times New Roman" w:cs="Times New Roman"/>
          <w:spacing w:val="-2"/>
          <w:kern w:val="16"/>
          <w:sz w:val="18"/>
          <w:szCs w:val="18"/>
          <w:lang w:val="en-US"/>
        </w:rPr>
        <w:t>,</w:t>
      </w:r>
      <w:r w:rsidRPr="006C2B6A">
        <w:rPr>
          <w:rFonts w:ascii="Times New Roman" w:hAnsi="Times New Roman" w:cs="Times New Roman"/>
          <w:spacing w:val="-2"/>
          <w:kern w:val="16"/>
          <w:sz w:val="18"/>
          <w:szCs w:val="18"/>
          <w:lang w:val="en-US"/>
        </w:rPr>
        <w:t xml:space="preserve"> accordingly, the fragile intuitions of behavioral finance, the regulation tunnels oscillating under the shadow of capital‑intensive production functions, the performance metrics wandering through the rusty shelves of organizational memory, the asymmetric information fragments colliding with budget discipline, and the purple wavelengths of geopolitical risk were combined through a conceptual simulation method. The method evaluated how random clusters of concepts generate an impression of depth within academic discourse, revealing that liquidity shadows, abstract expressions evoking a governance hum, and indicators of strategic uncertainty appeared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 Furthermore, the conceptual oscillations within the text encouraged readers to search for an orderly economic model, demonstrating that even context‑free concepts can produce a persuasive academic effect.</w:t>
      </w:r>
    </w:p>
    <w:p w14:paraId="79E820A9" w14:textId="20DB38CB" w:rsidR="00E65697" w:rsidRPr="006C2B6A" w:rsidRDefault="00E65697" w:rsidP="00E65697">
      <w:pPr>
        <w:suppressAutoHyphens/>
        <w:spacing w:after="120" w:line="240" w:lineRule="exact"/>
        <w:ind w:right="57"/>
        <w:rPr>
          <w:rFonts w:ascii="Times New Roman" w:eastAsia="Times New Roman" w:hAnsi="Times New Roman" w:cs="Times New Roman"/>
          <w:spacing w:val="-2"/>
          <w:kern w:val="16"/>
          <w:lang w:val="en-US" w:eastAsia="tr-TR"/>
        </w:rPr>
      </w:pPr>
      <w:r w:rsidRPr="006C2B6A">
        <w:rPr>
          <w:rFonts w:ascii="Times New Roman" w:hAnsi="Times New Roman" w:cs="Times New Roman"/>
          <w:b/>
          <w:bCs/>
          <w:spacing w:val="-2"/>
          <w:kern w:val="16"/>
          <w:sz w:val="18"/>
          <w:szCs w:val="18"/>
          <w:lang w:val="en-US"/>
        </w:rPr>
        <w:t>Keywords:</w:t>
      </w:r>
      <w:r w:rsidRPr="006C2B6A">
        <w:rPr>
          <w:rFonts w:ascii="Times New Roman" w:hAnsi="Times New Roman" w:cs="Times New Roman"/>
          <w:spacing w:val="-2"/>
          <w:kern w:val="16"/>
          <w:sz w:val="18"/>
          <w:szCs w:val="18"/>
          <w:lang w:val="en-US"/>
        </w:rPr>
        <w:t xml:space="preserve"> </w:t>
      </w:r>
      <w:r w:rsidR="00E908FC" w:rsidRPr="006C2B6A">
        <w:rPr>
          <w:rFonts w:ascii="Times New Roman" w:hAnsi="Times New Roman" w:cs="Times New Roman"/>
          <w:spacing w:val="-2"/>
          <w:kern w:val="16"/>
          <w:sz w:val="18"/>
          <w:szCs w:val="18"/>
          <w:lang w:val="en-US"/>
        </w:rPr>
        <w:t xml:space="preserve">Digital transformation, Strategic alignment, </w:t>
      </w:r>
      <w:proofErr w:type="gramStart"/>
      <w:r w:rsidR="00E908FC" w:rsidRPr="006C2B6A">
        <w:rPr>
          <w:rFonts w:ascii="Times New Roman" w:hAnsi="Times New Roman" w:cs="Times New Roman"/>
          <w:spacing w:val="-2"/>
          <w:kern w:val="16"/>
          <w:sz w:val="18"/>
          <w:szCs w:val="18"/>
          <w:lang w:val="en-US"/>
        </w:rPr>
        <w:t>Corporate</w:t>
      </w:r>
      <w:proofErr w:type="gramEnd"/>
      <w:r w:rsidR="00E908FC" w:rsidRPr="006C2B6A">
        <w:rPr>
          <w:rFonts w:ascii="Times New Roman" w:hAnsi="Times New Roman" w:cs="Times New Roman"/>
          <w:spacing w:val="-2"/>
          <w:kern w:val="16"/>
          <w:sz w:val="18"/>
          <w:szCs w:val="18"/>
          <w:lang w:val="en-US"/>
        </w:rPr>
        <w:t xml:space="preserve"> capacity, Innovation dynamics, Data-driven decision-making</w:t>
      </w:r>
    </w:p>
    <w:p w14:paraId="707D5246" w14:textId="19D0477E" w:rsidR="009E369B" w:rsidRPr="006C2B6A" w:rsidRDefault="00F569FA" w:rsidP="000F71E7">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t xml:space="preserve">1. </w:t>
      </w:r>
      <w:r w:rsidR="006C2B6A" w:rsidRPr="006C2B6A">
        <w:rPr>
          <w:rFonts w:ascii="Times New Roman" w:hAnsi="Times New Roman" w:cs="Times New Roman"/>
          <w:b/>
          <w:bCs/>
          <w:spacing w:val="-2"/>
          <w:kern w:val="16"/>
          <w:lang w:val="en-US"/>
        </w:rPr>
        <w:t>Introduction</w:t>
      </w:r>
    </w:p>
    <w:bookmarkEnd w:id="0"/>
    <w:p w14:paraId="6B605E1A" w14:textId="5C43CA64" w:rsidR="006C2B6A"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The fourth digital transformation is being evaluated as a paradigm shift in the industrial economy, the Internet of Things, and cyber-physical systems, deepening industrial analytics through technologies such as artificial intelligence (</w:t>
      </w:r>
      <w:r w:rsidR="00BF19A0" w:rsidRPr="006C2B6A">
        <w:rPr>
          <w:rFonts w:ascii="Times New Roman" w:eastAsia="Times New Roman" w:hAnsi="Times New Roman" w:cs="Times New Roman"/>
          <w:spacing w:val="-2"/>
          <w:kern w:val="16"/>
          <w:lang w:val="en-US" w:eastAsia="tr-TR"/>
        </w:rPr>
        <w:t>Weighmen</w:t>
      </w:r>
      <w:r w:rsidRPr="006C2B6A">
        <w:rPr>
          <w:rFonts w:ascii="Times New Roman" w:eastAsia="Times New Roman" w:hAnsi="Times New Roman" w:cs="Times New Roman"/>
          <w:spacing w:val="-2"/>
          <w:kern w:val="16"/>
          <w:lang w:val="en-US" w:eastAsia="tr-TR"/>
        </w:rPr>
        <w:t xml:space="preserve"> et al., 2025: 555). This transformation affects not only production but also individuals; but </w:t>
      </w:r>
      <w:r w:rsidR="00BF19A0" w:rsidRPr="006C2B6A">
        <w:rPr>
          <w:rFonts w:ascii="Times New Roman" w:eastAsia="Times New Roman" w:hAnsi="Times New Roman" w:cs="Times New Roman"/>
          <w:spacing w:val="-2"/>
          <w:kern w:val="16"/>
          <w:lang w:val="en-US" w:eastAsia="tr-TR"/>
        </w:rPr>
        <w:t>also,</w:t>
      </w:r>
      <w:r w:rsidRPr="006C2B6A">
        <w:rPr>
          <w:rFonts w:ascii="Times New Roman" w:eastAsia="Times New Roman" w:hAnsi="Times New Roman" w:cs="Times New Roman"/>
          <w:spacing w:val="-2"/>
          <w:kern w:val="16"/>
          <w:lang w:val="en-US" w:eastAsia="tr-TR"/>
        </w:rPr>
        <w:t xml:space="preserve"> profoundly impacts the </w:t>
      </w:r>
      <w:r w:rsidR="00BF19A0" w:rsidRPr="006C2B6A">
        <w:rPr>
          <w:rFonts w:ascii="Times New Roman" w:eastAsia="Times New Roman" w:hAnsi="Times New Roman" w:cs="Times New Roman"/>
          <w:spacing w:val="-2"/>
          <w:kern w:val="16"/>
          <w:lang w:val="en-US" w:eastAsia="tr-TR"/>
        </w:rPr>
        <w:t>labor</w:t>
      </w:r>
      <w:r w:rsidRPr="006C2B6A">
        <w:rPr>
          <w:rFonts w:ascii="Times New Roman" w:eastAsia="Times New Roman" w:hAnsi="Times New Roman" w:cs="Times New Roman"/>
          <w:spacing w:val="-2"/>
          <w:kern w:val="16"/>
          <w:lang w:val="en-US" w:eastAsia="tr-TR"/>
        </w:rPr>
        <w:t xml:space="preserve"> market, reshaping roles, career trends, expectations, and entrepreneurship (Durd</w:t>
      </w:r>
      <w:r w:rsidR="000939F1">
        <w:rPr>
          <w:rFonts w:ascii="Times New Roman" w:eastAsia="Times New Roman" w:hAnsi="Times New Roman" w:cs="Times New Roman"/>
          <w:spacing w:val="-2"/>
          <w:kern w:val="16"/>
          <w:lang w:val="en-US" w:eastAsia="tr-TR"/>
        </w:rPr>
        <w:t>u &amp; Metin</w:t>
      </w:r>
      <w:r w:rsidRPr="006C2B6A">
        <w:rPr>
          <w:rFonts w:ascii="Times New Roman" w:eastAsia="Times New Roman" w:hAnsi="Times New Roman" w:cs="Times New Roman"/>
          <w:spacing w:val="-2"/>
          <w:kern w:val="16"/>
          <w:lang w:val="en-US" w:eastAsia="tr-TR"/>
        </w:rPr>
        <w:t>, 2026: 880).</w:t>
      </w:r>
    </w:p>
    <w:p w14:paraId="6C6EBD10" w14:textId="47DB47A8" w:rsidR="00EF63B4" w:rsidRPr="006C2B6A" w:rsidRDefault="00EF63B4" w:rsidP="000F71E7">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t>2.</w:t>
      </w:r>
      <w:r w:rsidR="00FD0D51" w:rsidRPr="006C2B6A">
        <w:rPr>
          <w:rFonts w:ascii="Times New Roman" w:hAnsi="Times New Roman" w:cs="Times New Roman"/>
          <w:b/>
          <w:bCs/>
          <w:spacing w:val="-2"/>
          <w:kern w:val="16"/>
          <w:lang w:val="en-US"/>
        </w:rPr>
        <w:t xml:space="preserve"> </w:t>
      </w:r>
      <w:r w:rsidR="006C2B6A" w:rsidRPr="006C2B6A">
        <w:rPr>
          <w:rFonts w:ascii="Times New Roman" w:hAnsi="Times New Roman" w:cs="Times New Roman"/>
          <w:b/>
          <w:bCs/>
          <w:spacing w:val="-2"/>
          <w:kern w:val="16"/>
          <w:lang w:val="en-US"/>
        </w:rPr>
        <w:t>Theoretical Background and Hypothesis Development</w:t>
      </w:r>
    </w:p>
    <w:p w14:paraId="7DE60374" w14:textId="6675AB05" w:rsidR="00E908FC"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The theoretical framework of the study is to examine the effect of university students' awareness of Industry 4.0 on their entrepreneurial intentions and to analyze the regulatory roles of academic achievement, gender, age group, and parental education levels, adopting a quantitative research method.</w:t>
      </w:r>
    </w:p>
    <w:p w14:paraId="0875BA21" w14:textId="69AF3219" w:rsidR="00E908FC" w:rsidRPr="006C2B6A" w:rsidRDefault="00E908FC" w:rsidP="00E908FC">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t xml:space="preserve">2.1. </w:t>
      </w:r>
      <w:r w:rsidR="006C2B6A" w:rsidRPr="006C2B6A">
        <w:rPr>
          <w:rFonts w:ascii="Times New Roman" w:hAnsi="Times New Roman" w:cs="Times New Roman"/>
          <w:b/>
          <w:bCs/>
          <w:spacing w:val="-2"/>
          <w:kern w:val="16"/>
          <w:lang w:val="en-US"/>
        </w:rPr>
        <w:t>First Background</w:t>
      </w:r>
    </w:p>
    <w:p w14:paraId="37090069" w14:textId="1D0D1D05" w:rsidR="00231DA5"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 xml:space="preserve">The data obtained from the PSS were </w:t>
      </w:r>
      <w:r w:rsidR="00BF19A0" w:rsidRPr="006C2B6A">
        <w:rPr>
          <w:rFonts w:ascii="Times New Roman" w:eastAsia="Times New Roman" w:hAnsi="Times New Roman" w:cs="Times New Roman"/>
          <w:spacing w:val="-2"/>
          <w:kern w:val="16"/>
          <w:lang w:val="en-US" w:eastAsia="tr-TR"/>
        </w:rPr>
        <w:t>analyzed</w:t>
      </w:r>
      <w:r w:rsidRPr="006C2B6A">
        <w:rPr>
          <w:rFonts w:ascii="Times New Roman" w:eastAsia="Times New Roman" w:hAnsi="Times New Roman" w:cs="Times New Roman"/>
          <w:spacing w:val="-2"/>
          <w:kern w:val="16"/>
          <w:lang w:val="en-US" w:eastAsia="tr-TR"/>
        </w:rPr>
        <w:t xml:space="preserve"> using </w:t>
      </w:r>
      <w:r w:rsidR="00BF19A0" w:rsidRPr="006C2B6A">
        <w:rPr>
          <w:rFonts w:ascii="Times New Roman" w:eastAsia="Times New Roman" w:hAnsi="Times New Roman" w:cs="Times New Roman"/>
          <w:spacing w:val="-2"/>
          <w:kern w:val="16"/>
          <w:lang w:val="en-US" w:eastAsia="tr-TR"/>
        </w:rPr>
        <w:t>Process</w:t>
      </w:r>
      <w:r w:rsidRPr="006C2B6A">
        <w:rPr>
          <w:rFonts w:ascii="Times New Roman" w:eastAsia="Times New Roman" w:hAnsi="Times New Roman" w:cs="Times New Roman"/>
          <w:spacing w:val="-2"/>
          <w:kern w:val="16"/>
          <w:lang w:val="en-US" w:eastAsia="tr-TR"/>
        </w:rPr>
        <w:t xml:space="preserve"> Macro model 1. The general findings indicate that awareness of Industry 4.0 has a significant positive effect on entrepreneurial intention. Furthermore, among the demographic factors, the age group factor was found to have a different moderating role, while the remaining demographic factors did not play a </w:t>
      </w:r>
      <w:r w:rsidR="00BF19A0" w:rsidRPr="006C2B6A">
        <w:rPr>
          <w:rFonts w:ascii="Times New Roman" w:eastAsia="Times New Roman" w:hAnsi="Times New Roman" w:cs="Times New Roman"/>
          <w:spacing w:val="-2"/>
          <w:kern w:val="16"/>
          <w:lang w:val="en-US" w:eastAsia="tr-TR"/>
        </w:rPr>
        <w:t>moderate</w:t>
      </w:r>
      <w:r w:rsidRPr="006C2B6A">
        <w:rPr>
          <w:rFonts w:ascii="Times New Roman" w:eastAsia="Times New Roman" w:hAnsi="Times New Roman" w:cs="Times New Roman"/>
          <w:spacing w:val="-2"/>
          <w:kern w:val="16"/>
          <w:lang w:val="en-US" w:eastAsia="tr-TR"/>
        </w:rPr>
        <w:t xml:space="preserve"> role in this relationship.</w:t>
      </w:r>
    </w:p>
    <w:p w14:paraId="7015569B" w14:textId="58D81097" w:rsidR="008C633A" w:rsidRPr="006C2B6A" w:rsidRDefault="00FD0D51" w:rsidP="000F71E7">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t xml:space="preserve">3. </w:t>
      </w:r>
      <w:r w:rsidR="006C2B6A" w:rsidRPr="006C2B6A">
        <w:rPr>
          <w:rFonts w:ascii="Times New Roman" w:hAnsi="Times New Roman" w:cs="Times New Roman"/>
          <w:b/>
          <w:bCs/>
          <w:spacing w:val="-2"/>
          <w:kern w:val="16"/>
          <w:lang w:val="en-US"/>
        </w:rPr>
        <w:t>Method</w:t>
      </w:r>
      <w:r w:rsidR="008C633A" w:rsidRPr="006C2B6A">
        <w:rPr>
          <w:rFonts w:ascii="Times New Roman" w:hAnsi="Times New Roman" w:cs="Times New Roman"/>
          <w:b/>
          <w:bCs/>
          <w:spacing w:val="-2"/>
          <w:kern w:val="16"/>
          <w:lang w:val="en-US"/>
        </w:rPr>
        <w:tab/>
      </w:r>
    </w:p>
    <w:p w14:paraId="4103961A" w14:textId="2B428CDC" w:rsidR="00545420"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This study examined the quantitative effect of Google Forms on the regulatory roles obtained, as well as the data obtained from students and Industry 4.0 entrepreneurship in Turkey in general, using the PROCERT online AMOTY factor survey forms predicted in the SPS</w:t>
      </w:r>
      <w:r w:rsidR="000939F1">
        <w:rPr>
          <w:rFonts w:ascii="Times New Roman" w:eastAsia="Times New Roman" w:hAnsi="Times New Roman" w:cs="Times New Roman"/>
          <w:spacing w:val="-2"/>
          <w:kern w:val="16"/>
          <w:lang w:val="en-US" w:eastAsia="tr-TR"/>
        </w:rPr>
        <w:t>D</w:t>
      </w:r>
      <w:r w:rsidRPr="006C2B6A">
        <w:rPr>
          <w:rFonts w:ascii="Times New Roman" w:eastAsia="Times New Roman" w:hAnsi="Times New Roman" w:cs="Times New Roman"/>
          <w:spacing w:val="-2"/>
          <w:kern w:val="16"/>
          <w:lang w:val="en-US" w:eastAsia="tr-TR"/>
        </w:rPr>
        <w:t xml:space="preserve"> framework.</w:t>
      </w:r>
    </w:p>
    <w:p w14:paraId="798E084B" w14:textId="278C03F0" w:rsidR="00545420" w:rsidRPr="006C2B6A" w:rsidRDefault="00000000" w:rsidP="00545420">
      <w:pPr>
        <w:spacing w:line="360" w:lineRule="auto"/>
        <w:ind w:firstLine="708"/>
        <w:jc w:val="both"/>
        <w:rPr>
          <w:rFonts w:ascii="Times New Roman" w:eastAsiaTheme="minorEastAsia" w:hAnsi="Times New Roman" w:cs="Times New Roman"/>
          <w:sz w:val="20"/>
          <w:szCs w:val="20"/>
          <w:lang w:val="en-US"/>
        </w:rPr>
      </w:pPr>
      <m:oMathPara>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CD</m:t>
              </m:r>
            </m:e>
            <m:sub>
              <m:r>
                <w:rPr>
                  <w:rFonts w:ascii="Cambria Math" w:eastAsiaTheme="minorEastAsia" w:hAnsi="Cambria Math" w:cs="Times New Roman"/>
                  <w:sz w:val="20"/>
                  <w:szCs w:val="20"/>
                  <w:lang w:val="en-US"/>
                </w:rPr>
                <m:t>LM3</m:t>
              </m:r>
            </m:sub>
          </m:sSub>
          <m:r>
            <w:rPr>
              <w:rFonts w:ascii="Cambria Math" w:eastAsiaTheme="minorEastAsia" w:hAnsi="Cambria Math" w:cs="Times New Roman"/>
              <w:sz w:val="20"/>
              <w:szCs w:val="20"/>
              <w:lang w:val="en-US"/>
            </w:rPr>
            <m:t>=</m:t>
          </m:r>
          <m:rad>
            <m:radPr>
              <m:degHide m:val="1"/>
              <m:ctrlPr>
                <w:rPr>
                  <w:rFonts w:ascii="Cambria Math" w:eastAsiaTheme="minorEastAsia" w:hAnsi="Cambria Math" w:cs="Times New Roman"/>
                  <w:i/>
                  <w:sz w:val="20"/>
                  <w:szCs w:val="20"/>
                  <w:lang w:val="en-US"/>
                </w:rPr>
              </m:ctrlPr>
            </m:radPr>
            <m:deg/>
            <m:e>
              <m:f>
                <m:fPr>
                  <m:ctrlPr>
                    <w:rPr>
                      <w:rFonts w:ascii="Cambria Math" w:eastAsiaTheme="minorEastAsia" w:hAnsi="Cambria Math" w:cs="Times New Roman"/>
                      <w:i/>
                      <w:sz w:val="20"/>
                      <w:szCs w:val="20"/>
                      <w:lang w:val="en-US"/>
                    </w:rPr>
                  </m:ctrlPr>
                </m:fPr>
                <m:num>
                  <m:r>
                    <w:rPr>
                      <w:rFonts w:ascii="Cambria Math" w:eastAsiaTheme="minorEastAsia" w:hAnsi="Cambria Math" w:cs="Times New Roman"/>
                      <w:sz w:val="20"/>
                      <w:szCs w:val="20"/>
                      <w:lang w:val="en-US"/>
                    </w:rPr>
                    <m:t>2T</m:t>
                  </m:r>
                </m:num>
                <m:den>
                  <m:r>
                    <w:rPr>
                      <w:rFonts w:ascii="Cambria Math" w:eastAsiaTheme="minorEastAsia" w:hAnsi="Cambria Math" w:cs="Times New Roman"/>
                      <w:sz w:val="20"/>
                      <w:szCs w:val="20"/>
                      <w:lang w:val="en-US"/>
                    </w:rPr>
                    <m:t>N</m:t>
                  </m:r>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N-1</m:t>
                      </m:r>
                    </m:e>
                  </m:d>
                </m:den>
              </m:f>
            </m:e>
          </m:rad>
          <m:d>
            <m:dPr>
              <m:ctrlPr>
                <w:rPr>
                  <w:rFonts w:ascii="Cambria Math" w:eastAsiaTheme="minorEastAsia" w:hAnsi="Cambria Math" w:cs="Times New Roman"/>
                  <w:i/>
                  <w:sz w:val="20"/>
                  <w:szCs w:val="20"/>
                  <w:lang w:val="en-US"/>
                </w:rPr>
              </m:ctrlPr>
            </m:dPr>
            <m:e>
              <m:nary>
                <m:naryPr>
                  <m:chr m:val="∑"/>
                  <m:limLoc m:val="undOvr"/>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i=1</m:t>
                  </m:r>
                </m:sub>
                <m:sup>
                  <m:r>
                    <w:rPr>
                      <w:rFonts w:ascii="Cambria Math" w:eastAsiaTheme="minorEastAsia" w:hAnsi="Cambria Math" w:cs="Times New Roman"/>
                      <w:sz w:val="20"/>
                      <w:szCs w:val="20"/>
                      <w:lang w:val="en-US"/>
                    </w:rPr>
                    <m:t>N-1</m:t>
                  </m:r>
                </m:sup>
                <m:e>
                  <m:nary>
                    <m:naryPr>
                      <m:chr m:val="∑"/>
                      <m:limLoc m:val="undOvr"/>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j=i+1</m:t>
                      </m:r>
                    </m:sub>
                    <m:sup>
                      <m:r>
                        <w:rPr>
                          <w:rFonts w:ascii="Cambria Math" w:eastAsiaTheme="minorEastAsia" w:hAnsi="Cambria Math" w:cs="Times New Roman"/>
                          <w:sz w:val="20"/>
                          <w:szCs w:val="20"/>
                          <w:lang w:val="en-US"/>
                        </w:rPr>
                        <m:t>N</m:t>
                      </m:r>
                    </m:sup>
                    <m:e>
                      <m:sSub>
                        <m:sSubPr>
                          <m:ctrlPr>
                            <w:rPr>
                              <w:rFonts w:ascii="Cambria Math" w:eastAsiaTheme="minorEastAsia" w:hAnsi="Cambria Math" w:cs="Times New Roman"/>
                              <w:i/>
                              <w:sz w:val="20"/>
                              <w:szCs w:val="20"/>
                              <w:lang w:val="en-US"/>
                            </w:rPr>
                          </m:ctrlPr>
                        </m:sSubPr>
                        <m:e>
                          <m:acc>
                            <m:accPr>
                              <m:ctrlPr>
                                <w:rPr>
                                  <w:rFonts w:ascii="Cambria Math" w:eastAsiaTheme="minorEastAsia" w:hAnsi="Cambria Math" w:cs="Times New Roman"/>
                                  <w:i/>
                                  <w:sz w:val="20"/>
                                  <w:szCs w:val="20"/>
                                  <w:lang w:val="en-US"/>
                                </w:rPr>
                              </m:ctrlPr>
                            </m:accPr>
                            <m:e>
                              <m:r>
                                <w:rPr>
                                  <w:rFonts w:ascii="Cambria Math" w:eastAsiaTheme="minorEastAsia" w:hAnsi="Cambria Math" w:cs="Times New Roman"/>
                                  <w:sz w:val="20"/>
                                  <w:szCs w:val="20"/>
                                  <w:lang w:val="en-US"/>
                                </w:rPr>
                                <m:t>p</m:t>
                              </m:r>
                            </m:e>
                          </m:acc>
                        </m:e>
                        <m:sub>
                          <m:r>
                            <w:rPr>
                              <w:rFonts w:ascii="Cambria Math" w:eastAsiaTheme="minorEastAsia" w:hAnsi="Cambria Math" w:cs="Times New Roman"/>
                              <w:sz w:val="20"/>
                              <w:szCs w:val="20"/>
                              <w:lang w:val="en-US"/>
                            </w:rPr>
                            <m:t>ij</m:t>
                          </m:r>
                        </m:sub>
                      </m:sSub>
                    </m:e>
                  </m:nary>
                </m:e>
              </m:nary>
            </m:e>
          </m:d>
          <m:r>
            <w:rPr>
              <w:rFonts w:ascii="Cambria Math" w:eastAsiaTheme="minorEastAsia" w:hAnsi="Cambria Math" w:cs="Times New Roman"/>
              <w:sz w:val="20"/>
              <w:szCs w:val="20"/>
              <w:lang w:val="en-US"/>
            </w:rPr>
            <m:t xml:space="preserve">                                                                                                                                         (3) </m:t>
          </m:r>
        </m:oMath>
      </m:oMathPara>
    </w:p>
    <w:p w14:paraId="0F4BFE8D" w14:textId="1F10D5A5" w:rsidR="00FD0D51"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 xml:space="preserve">The study </w:t>
      </w:r>
      <w:r w:rsidR="00BF19A0" w:rsidRPr="006C2B6A">
        <w:rPr>
          <w:rFonts w:ascii="Times New Roman" w:eastAsia="Times New Roman" w:hAnsi="Times New Roman" w:cs="Times New Roman"/>
          <w:spacing w:val="-2"/>
          <w:kern w:val="16"/>
          <w:lang w:val="en-US" w:eastAsia="tr-TR"/>
        </w:rPr>
        <w:t>analyzed</w:t>
      </w:r>
      <w:r w:rsidRPr="006C2B6A">
        <w:rPr>
          <w:rFonts w:ascii="Times New Roman" w:eastAsia="Times New Roman" w:hAnsi="Times New Roman" w:cs="Times New Roman"/>
          <w:spacing w:val="-2"/>
          <w:kern w:val="16"/>
          <w:lang w:val="en-US" w:eastAsia="tr-TR"/>
        </w:rPr>
        <w:t xml:space="preserve"> the regulatory relationships between the data; awareness was tested at both postgraduate and undergraduate levels, as well as the effects on entrepreneurial intent. It has a physical design for learning. Within the framework of the demographic pattern, it has a cross-sectional design across Turkey with data obtained from students, using quantitative research to determine the regulatory effect.</w:t>
      </w:r>
      <w:r w:rsidR="00910A9E" w:rsidRPr="00910A9E">
        <w:rPr>
          <w:rFonts w:ascii="Times New Roman" w:eastAsia="Times New Roman" w:hAnsi="Times New Roman" w:cs="Times New Roman"/>
          <w:spacing w:val="-2"/>
          <w:kern w:val="16"/>
          <w:lang w:val="en-US" w:eastAsia="tr-TR"/>
        </w:rPr>
        <w:t xml:space="preserve"> </w:t>
      </w:r>
      <w:r w:rsidR="00910A9E" w:rsidRPr="006C2B6A">
        <w:rPr>
          <w:rFonts w:ascii="Times New Roman" w:eastAsia="Times New Roman" w:hAnsi="Times New Roman" w:cs="Times New Roman"/>
          <w:spacing w:val="-2"/>
          <w:kern w:val="16"/>
          <w:lang w:val="en-US" w:eastAsia="tr-TR"/>
        </w:rPr>
        <w:t>Furthermore, among the demographic factors, the age group factor was found to have a different moderating role, while the remaining demographic factors did not play a moderate role in this relationship.</w:t>
      </w:r>
    </w:p>
    <w:p w14:paraId="41B41BE4" w14:textId="72BDDFE1" w:rsidR="008C633A" w:rsidRPr="006C2B6A" w:rsidRDefault="00FD0D51" w:rsidP="000F71E7">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lastRenderedPageBreak/>
        <w:t>4.</w:t>
      </w:r>
      <w:r w:rsidR="004828DE" w:rsidRPr="006C2B6A">
        <w:rPr>
          <w:rFonts w:ascii="Times New Roman" w:hAnsi="Times New Roman" w:cs="Times New Roman"/>
          <w:b/>
          <w:bCs/>
          <w:spacing w:val="-2"/>
          <w:kern w:val="16"/>
          <w:lang w:val="en-US"/>
        </w:rPr>
        <w:t xml:space="preserve"> </w:t>
      </w:r>
      <w:r w:rsidR="006C2B6A" w:rsidRPr="006C2B6A">
        <w:rPr>
          <w:rFonts w:ascii="Times New Roman" w:hAnsi="Times New Roman" w:cs="Times New Roman"/>
          <w:b/>
          <w:bCs/>
          <w:spacing w:val="-2"/>
          <w:kern w:val="16"/>
          <w:lang w:val="en-US"/>
        </w:rPr>
        <w:t>Findings</w:t>
      </w:r>
    </w:p>
    <w:p w14:paraId="46BEAB3B" w14:textId="799C5F93" w:rsidR="001E70A0"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The demographic data related to the sample used in the study reveals the distribution of participants according to various variables. These findings demonstrate the diversity of the sample and provide a reference point for examining meaningful relationships between the variables addressed in the study. Frequency and percentage distributions related to demographic characteristics are presented in Table 1.</w:t>
      </w:r>
    </w:p>
    <w:p w14:paraId="60477C69" w14:textId="34ADA760" w:rsidR="00FD0D51" w:rsidRPr="006C2B6A" w:rsidRDefault="007D0EEB" w:rsidP="000F71E7">
      <w:pPr>
        <w:suppressAutoHyphens/>
        <w:spacing w:before="240" w:after="0" w:line="240" w:lineRule="exact"/>
        <w:jc w:val="both"/>
        <w:rPr>
          <w:rFonts w:ascii="Times New Roman" w:hAnsi="Times New Roman" w:cs="Times New Roman"/>
          <w:b/>
          <w:spacing w:val="-2"/>
          <w:kern w:val="16"/>
          <w:sz w:val="20"/>
          <w:szCs w:val="20"/>
          <w:lang w:val="en-US"/>
        </w:rPr>
      </w:pPr>
      <w:r w:rsidRPr="006C2B6A">
        <w:rPr>
          <w:rFonts w:ascii="Times New Roman" w:hAnsi="Times New Roman" w:cs="Times New Roman"/>
          <w:b/>
          <w:spacing w:val="-2"/>
          <w:kern w:val="16"/>
          <w:sz w:val="20"/>
          <w:szCs w:val="20"/>
          <w:lang w:val="en-US"/>
        </w:rPr>
        <w:t>TABL</w:t>
      </w:r>
      <w:r w:rsidR="006C2B6A">
        <w:rPr>
          <w:rFonts w:ascii="Times New Roman" w:hAnsi="Times New Roman" w:cs="Times New Roman"/>
          <w:b/>
          <w:spacing w:val="-2"/>
          <w:kern w:val="16"/>
          <w:sz w:val="20"/>
          <w:szCs w:val="20"/>
          <w:lang w:val="en-US"/>
        </w:rPr>
        <w:t>E</w:t>
      </w:r>
      <w:r w:rsidR="00FD0D51" w:rsidRPr="006C2B6A">
        <w:rPr>
          <w:rFonts w:ascii="Times New Roman" w:hAnsi="Times New Roman" w:cs="Times New Roman"/>
          <w:b/>
          <w:spacing w:val="-2"/>
          <w:kern w:val="16"/>
          <w:sz w:val="20"/>
          <w:szCs w:val="20"/>
          <w:lang w:val="en-US"/>
        </w:rPr>
        <w:t xml:space="preserve"> 1. </w:t>
      </w:r>
      <w:r w:rsidR="006C2B6A" w:rsidRPr="006C2B6A">
        <w:rPr>
          <w:rFonts w:ascii="Times New Roman" w:hAnsi="Times New Roman" w:cs="Times New Roman"/>
          <w:bCs/>
          <w:spacing w:val="-2"/>
          <w:kern w:val="16"/>
          <w:sz w:val="20"/>
          <w:szCs w:val="20"/>
          <w:lang w:val="en-US"/>
        </w:rPr>
        <w:t>Demographic Factors</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365"/>
        <w:gridCol w:w="1365"/>
        <w:gridCol w:w="2661"/>
        <w:gridCol w:w="1092"/>
        <w:gridCol w:w="1284"/>
      </w:tblGrid>
      <w:tr w:rsidR="001401A3" w:rsidRPr="006C2B6A" w14:paraId="3EB642B6" w14:textId="77777777" w:rsidTr="00B65F0F">
        <w:tc>
          <w:tcPr>
            <w:tcW w:w="1273" w:type="pct"/>
            <w:tcBorders>
              <w:top w:val="single" w:sz="4" w:space="0" w:color="auto"/>
              <w:bottom w:val="single" w:sz="4" w:space="0" w:color="auto"/>
            </w:tcBorders>
            <w:vAlign w:val="bottom"/>
          </w:tcPr>
          <w:p w14:paraId="4EFAAD14" w14:textId="589FB8B2"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Variable</w:t>
            </w:r>
          </w:p>
        </w:tc>
        <w:tc>
          <w:tcPr>
            <w:tcW w:w="655" w:type="pct"/>
            <w:tcBorders>
              <w:top w:val="single" w:sz="4" w:space="0" w:color="auto"/>
              <w:bottom w:val="single" w:sz="4" w:space="0" w:color="auto"/>
            </w:tcBorders>
            <w:vAlign w:val="bottom"/>
          </w:tcPr>
          <w:p w14:paraId="01CEBC87" w14:textId="50CBBD4B"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Frequency</w:t>
            </w:r>
          </w:p>
        </w:tc>
        <w:tc>
          <w:tcPr>
            <w:tcW w:w="655" w:type="pct"/>
            <w:tcBorders>
              <w:top w:val="single" w:sz="4" w:space="0" w:color="auto"/>
              <w:bottom w:val="single" w:sz="4" w:space="0" w:color="auto"/>
            </w:tcBorders>
            <w:vAlign w:val="bottom"/>
          </w:tcPr>
          <w:p w14:paraId="73232C81" w14:textId="7A0774E2"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Pr>
                <w:rFonts w:ascii="Times New Roman" w:hAnsi="Times New Roman" w:cs="Times New Roman"/>
                <w:spacing w:val="-2"/>
                <w:kern w:val="16"/>
                <w:sz w:val="20"/>
                <w:szCs w:val="20"/>
                <w:lang w:val="en-US"/>
              </w:rPr>
              <w:t>Percent</w:t>
            </w:r>
            <w:r w:rsidR="001401A3" w:rsidRPr="006C2B6A">
              <w:rPr>
                <w:rFonts w:ascii="Times New Roman" w:hAnsi="Times New Roman" w:cs="Times New Roman"/>
                <w:spacing w:val="-2"/>
                <w:kern w:val="16"/>
                <w:sz w:val="20"/>
                <w:szCs w:val="20"/>
                <w:lang w:val="en-US"/>
              </w:rPr>
              <w:t xml:space="preserve"> (%)</w:t>
            </w:r>
          </w:p>
        </w:tc>
        <w:tc>
          <w:tcPr>
            <w:tcW w:w="1277" w:type="pct"/>
            <w:tcBorders>
              <w:top w:val="single" w:sz="4" w:space="0" w:color="auto"/>
              <w:bottom w:val="single" w:sz="4" w:space="0" w:color="auto"/>
            </w:tcBorders>
            <w:vAlign w:val="bottom"/>
          </w:tcPr>
          <w:p w14:paraId="276F4A2D" w14:textId="62C62B0D"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Variable</w:t>
            </w:r>
          </w:p>
        </w:tc>
        <w:tc>
          <w:tcPr>
            <w:tcW w:w="524" w:type="pct"/>
            <w:tcBorders>
              <w:top w:val="single" w:sz="4" w:space="0" w:color="auto"/>
              <w:bottom w:val="single" w:sz="4" w:space="0" w:color="auto"/>
            </w:tcBorders>
            <w:vAlign w:val="bottom"/>
          </w:tcPr>
          <w:p w14:paraId="737D6DBF" w14:textId="5FDF5DCE"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Frequency</w:t>
            </w:r>
          </w:p>
        </w:tc>
        <w:tc>
          <w:tcPr>
            <w:tcW w:w="616" w:type="pct"/>
            <w:tcBorders>
              <w:top w:val="single" w:sz="4" w:space="0" w:color="auto"/>
              <w:bottom w:val="single" w:sz="4" w:space="0" w:color="auto"/>
            </w:tcBorders>
            <w:vAlign w:val="bottom"/>
          </w:tcPr>
          <w:p w14:paraId="2DE82A94" w14:textId="1293BAAE"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Pr>
                <w:rFonts w:ascii="Times New Roman" w:hAnsi="Times New Roman" w:cs="Times New Roman"/>
                <w:spacing w:val="-2"/>
                <w:kern w:val="16"/>
                <w:sz w:val="20"/>
                <w:szCs w:val="20"/>
                <w:lang w:val="en-US"/>
              </w:rPr>
              <w:t>Percent</w:t>
            </w:r>
            <w:r w:rsidRPr="006C2B6A">
              <w:rPr>
                <w:rFonts w:ascii="Times New Roman" w:hAnsi="Times New Roman" w:cs="Times New Roman"/>
                <w:spacing w:val="-2"/>
                <w:kern w:val="16"/>
                <w:sz w:val="20"/>
                <w:szCs w:val="20"/>
                <w:lang w:val="en-US"/>
              </w:rPr>
              <w:t xml:space="preserve"> </w:t>
            </w:r>
            <w:r w:rsidR="001401A3" w:rsidRPr="006C2B6A">
              <w:rPr>
                <w:rFonts w:ascii="Times New Roman" w:hAnsi="Times New Roman" w:cs="Times New Roman"/>
                <w:spacing w:val="-2"/>
                <w:kern w:val="16"/>
                <w:sz w:val="20"/>
                <w:szCs w:val="20"/>
                <w:lang w:val="en-US"/>
              </w:rPr>
              <w:t>(%)</w:t>
            </w:r>
          </w:p>
        </w:tc>
      </w:tr>
      <w:tr w:rsidR="001401A3" w:rsidRPr="006C2B6A" w14:paraId="42E18D7C" w14:textId="77777777" w:rsidTr="00B65F0F">
        <w:tc>
          <w:tcPr>
            <w:tcW w:w="1273" w:type="pct"/>
            <w:vAlign w:val="bottom"/>
          </w:tcPr>
          <w:p w14:paraId="16515BC8" w14:textId="75B1A473"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Pr>
                <w:rFonts w:ascii="Times New Roman" w:hAnsi="Times New Roman" w:cs="Times New Roman"/>
                <w:spacing w:val="-2"/>
                <w:kern w:val="16"/>
                <w:sz w:val="20"/>
                <w:szCs w:val="20"/>
                <w:lang w:val="en-US"/>
              </w:rPr>
              <w:t>Man</w:t>
            </w:r>
            <w:r w:rsidR="001401A3" w:rsidRPr="006C2B6A">
              <w:rPr>
                <w:rFonts w:ascii="Times New Roman" w:hAnsi="Times New Roman" w:cs="Times New Roman"/>
                <w:spacing w:val="-2"/>
                <w:kern w:val="16"/>
                <w:sz w:val="20"/>
                <w:szCs w:val="20"/>
                <w:lang w:val="en-US"/>
              </w:rPr>
              <w:t xml:space="preserve"> </w:t>
            </w:r>
          </w:p>
        </w:tc>
        <w:tc>
          <w:tcPr>
            <w:tcW w:w="655" w:type="pct"/>
            <w:vAlign w:val="bottom"/>
          </w:tcPr>
          <w:p w14:paraId="4A3AD4C2" w14:textId="4713C3F3"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4</w:t>
            </w:r>
            <w:r w:rsidRPr="006C2B6A">
              <w:rPr>
                <w:rFonts w:ascii="Times New Roman" w:hAnsi="Times New Roman" w:cs="Times New Roman"/>
                <w:sz w:val="20"/>
                <w:szCs w:val="20"/>
                <w:lang w:val="en-US"/>
              </w:rPr>
              <w:t>44</w:t>
            </w:r>
          </w:p>
        </w:tc>
        <w:tc>
          <w:tcPr>
            <w:tcW w:w="655" w:type="pct"/>
            <w:vAlign w:val="bottom"/>
          </w:tcPr>
          <w:p w14:paraId="4E00ECCB" w14:textId="38C3D8EC"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4</w:t>
            </w:r>
            <w:r w:rsidRPr="006C2B6A">
              <w:rPr>
                <w:rFonts w:ascii="Times New Roman" w:hAnsi="Times New Roman" w:cs="Times New Roman"/>
                <w:sz w:val="20"/>
                <w:szCs w:val="20"/>
                <w:lang w:val="en-US"/>
              </w:rPr>
              <w:t>5</w:t>
            </w:r>
            <w:r w:rsidR="001401A3" w:rsidRPr="006C2B6A">
              <w:rPr>
                <w:rFonts w:ascii="Times New Roman" w:hAnsi="Times New Roman" w:cs="Times New Roman"/>
                <w:spacing w:val="-2"/>
                <w:kern w:val="16"/>
                <w:sz w:val="20"/>
                <w:szCs w:val="20"/>
                <w:lang w:val="en-US"/>
              </w:rPr>
              <w:t>.9</w:t>
            </w:r>
          </w:p>
        </w:tc>
        <w:tc>
          <w:tcPr>
            <w:tcW w:w="1277" w:type="pct"/>
          </w:tcPr>
          <w:p w14:paraId="14890B2E" w14:textId="24DF406A" w:rsidR="001401A3" w:rsidRPr="006C2B6A"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lang w:val="en-US"/>
              </w:rPr>
            </w:pPr>
            <w:r>
              <w:rPr>
                <w:rFonts w:ascii="Times New Roman" w:hAnsi="Times New Roman" w:cs="Times New Roman"/>
                <w:color w:val="000000"/>
                <w:spacing w:val="-2"/>
                <w:kern w:val="16"/>
                <w:sz w:val="20"/>
                <w:szCs w:val="20"/>
                <w:lang w:val="en-US"/>
              </w:rPr>
              <w:t>Not</w:t>
            </w:r>
          </w:p>
        </w:tc>
        <w:tc>
          <w:tcPr>
            <w:tcW w:w="524" w:type="pct"/>
            <w:vAlign w:val="bottom"/>
          </w:tcPr>
          <w:p w14:paraId="687E989C" w14:textId="07D6D9F9"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6</w:t>
            </w:r>
            <w:r w:rsidRPr="006C2B6A">
              <w:rPr>
                <w:rFonts w:ascii="Times New Roman" w:hAnsi="Times New Roman" w:cs="Times New Roman"/>
                <w:sz w:val="20"/>
                <w:szCs w:val="20"/>
                <w:lang w:val="en-US"/>
              </w:rPr>
              <w:t>6</w:t>
            </w:r>
          </w:p>
        </w:tc>
        <w:tc>
          <w:tcPr>
            <w:tcW w:w="616" w:type="pct"/>
            <w:vAlign w:val="bottom"/>
          </w:tcPr>
          <w:p w14:paraId="5BB17BA7" w14:textId="6753D30E"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7</w:t>
            </w:r>
            <w:r w:rsidR="001401A3" w:rsidRPr="006C2B6A">
              <w:rPr>
                <w:rFonts w:ascii="Times New Roman" w:hAnsi="Times New Roman" w:cs="Times New Roman"/>
                <w:spacing w:val="-2"/>
                <w:kern w:val="16"/>
                <w:sz w:val="20"/>
                <w:szCs w:val="20"/>
                <w:lang w:val="en-US"/>
              </w:rPr>
              <w:t>.8</w:t>
            </w:r>
          </w:p>
        </w:tc>
      </w:tr>
      <w:tr w:rsidR="001401A3" w:rsidRPr="006C2B6A" w14:paraId="1A12D426" w14:textId="77777777" w:rsidTr="00B65F0F">
        <w:tc>
          <w:tcPr>
            <w:tcW w:w="1273" w:type="pct"/>
            <w:vAlign w:val="bottom"/>
          </w:tcPr>
          <w:p w14:paraId="61FDA363" w14:textId="505F9F85"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Pr>
                <w:rFonts w:ascii="Times New Roman" w:hAnsi="Times New Roman" w:cs="Times New Roman"/>
                <w:spacing w:val="-2"/>
                <w:kern w:val="16"/>
                <w:sz w:val="20"/>
                <w:szCs w:val="20"/>
                <w:lang w:val="en-US"/>
              </w:rPr>
              <w:t>Women</w:t>
            </w:r>
          </w:p>
        </w:tc>
        <w:tc>
          <w:tcPr>
            <w:tcW w:w="655" w:type="pct"/>
            <w:vAlign w:val="bottom"/>
          </w:tcPr>
          <w:p w14:paraId="5A7208E5" w14:textId="1F303187"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3</w:t>
            </w:r>
            <w:r w:rsidRPr="006C2B6A">
              <w:rPr>
                <w:rFonts w:ascii="Times New Roman" w:hAnsi="Times New Roman" w:cs="Times New Roman"/>
                <w:sz w:val="20"/>
                <w:szCs w:val="20"/>
                <w:lang w:val="en-US"/>
              </w:rPr>
              <w:t>33</w:t>
            </w:r>
          </w:p>
        </w:tc>
        <w:tc>
          <w:tcPr>
            <w:tcW w:w="655" w:type="pct"/>
            <w:vAlign w:val="bottom"/>
          </w:tcPr>
          <w:p w14:paraId="63CC23AA" w14:textId="6B3EE3CF"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5</w:t>
            </w:r>
            <w:r w:rsidRPr="006C2B6A">
              <w:rPr>
                <w:rFonts w:ascii="Times New Roman" w:hAnsi="Times New Roman" w:cs="Times New Roman"/>
                <w:sz w:val="20"/>
                <w:szCs w:val="20"/>
                <w:lang w:val="en-US"/>
              </w:rPr>
              <w:t>4</w:t>
            </w:r>
            <w:r w:rsidR="001401A3" w:rsidRPr="006C2B6A">
              <w:rPr>
                <w:rFonts w:ascii="Times New Roman" w:hAnsi="Times New Roman" w:cs="Times New Roman"/>
                <w:spacing w:val="-2"/>
                <w:kern w:val="16"/>
                <w:sz w:val="20"/>
                <w:szCs w:val="20"/>
                <w:lang w:val="en-US"/>
              </w:rPr>
              <w:t>.1</w:t>
            </w:r>
          </w:p>
        </w:tc>
        <w:tc>
          <w:tcPr>
            <w:tcW w:w="1277" w:type="pct"/>
          </w:tcPr>
          <w:p w14:paraId="29810EDF" w14:textId="72D725CE" w:rsidR="001401A3" w:rsidRPr="006C2B6A"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lang w:val="en-US"/>
              </w:rPr>
            </w:pPr>
            <w:r w:rsidRPr="006C2B6A">
              <w:rPr>
                <w:rFonts w:ascii="Times New Roman" w:hAnsi="Times New Roman" w:cs="Times New Roman"/>
                <w:color w:val="000000"/>
                <w:spacing w:val="-2"/>
                <w:kern w:val="16"/>
                <w:sz w:val="20"/>
                <w:szCs w:val="20"/>
                <w:lang w:val="en-US"/>
              </w:rPr>
              <w:t>Education</w:t>
            </w:r>
          </w:p>
        </w:tc>
        <w:tc>
          <w:tcPr>
            <w:tcW w:w="524" w:type="pct"/>
            <w:vAlign w:val="bottom"/>
          </w:tcPr>
          <w:p w14:paraId="572439E2" w14:textId="30EE7379"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7</w:t>
            </w:r>
            <w:r w:rsidRPr="006C2B6A">
              <w:rPr>
                <w:rFonts w:ascii="Times New Roman" w:hAnsi="Times New Roman" w:cs="Times New Roman"/>
                <w:sz w:val="20"/>
                <w:szCs w:val="20"/>
                <w:lang w:val="en-US"/>
              </w:rPr>
              <w:t>7</w:t>
            </w:r>
          </w:p>
        </w:tc>
        <w:tc>
          <w:tcPr>
            <w:tcW w:w="616" w:type="pct"/>
            <w:vAlign w:val="bottom"/>
          </w:tcPr>
          <w:p w14:paraId="23CD67C6" w14:textId="1A806F7C"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8</w:t>
            </w:r>
            <w:r w:rsidR="001401A3" w:rsidRPr="006C2B6A">
              <w:rPr>
                <w:rFonts w:ascii="Times New Roman" w:hAnsi="Times New Roman" w:cs="Times New Roman"/>
                <w:spacing w:val="-2"/>
                <w:kern w:val="16"/>
                <w:sz w:val="20"/>
                <w:szCs w:val="20"/>
                <w:lang w:val="en-US"/>
              </w:rPr>
              <w:t>.9</w:t>
            </w:r>
          </w:p>
        </w:tc>
      </w:tr>
      <w:tr w:rsidR="001401A3" w:rsidRPr="006C2B6A" w14:paraId="43E6AFF1" w14:textId="77777777" w:rsidTr="00B65F0F">
        <w:tc>
          <w:tcPr>
            <w:tcW w:w="1273" w:type="pct"/>
            <w:vAlign w:val="bottom"/>
          </w:tcPr>
          <w:p w14:paraId="5F6178A4" w14:textId="70368247"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Academic Achievement</w:t>
            </w:r>
          </w:p>
        </w:tc>
        <w:tc>
          <w:tcPr>
            <w:tcW w:w="655" w:type="pct"/>
            <w:vAlign w:val="bottom"/>
          </w:tcPr>
          <w:p w14:paraId="395E0651" w14:textId="77777777"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p>
        </w:tc>
        <w:tc>
          <w:tcPr>
            <w:tcW w:w="655" w:type="pct"/>
            <w:vAlign w:val="bottom"/>
          </w:tcPr>
          <w:p w14:paraId="672529FD" w14:textId="77777777"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p>
        </w:tc>
        <w:tc>
          <w:tcPr>
            <w:tcW w:w="1277" w:type="pct"/>
          </w:tcPr>
          <w:p w14:paraId="17C8C394" w14:textId="42D24F24" w:rsidR="001401A3" w:rsidRPr="006C2B6A"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lang w:val="en-US"/>
              </w:rPr>
            </w:pPr>
            <w:r w:rsidRPr="006C2B6A">
              <w:rPr>
                <w:rFonts w:ascii="Times New Roman" w:hAnsi="Times New Roman" w:cs="Times New Roman"/>
                <w:color w:val="000000"/>
                <w:spacing w:val="-2"/>
                <w:kern w:val="16"/>
                <w:sz w:val="20"/>
                <w:szCs w:val="20"/>
                <w:lang w:val="en-US"/>
              </w:rPr>
              <w:t>Education</w:t>
            </w:r>
          </w:p>
        </w:tc>
        <w:tc>
          <w:tcPr>
            <w:tcW w:w="524" w:type="pct"/>
            <w:vAlign w:val="bottom"/>
          </w:tcPr>
          <w:p w14:paraId="0C03B120" w14:textId="4021112C"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5</w:t>
            </w:r>
            <w:r w:rsidRPr="006C2B6A">
              <w:rPr>
                <w:rFonts w:ascii="Times New Roman" w:hAnsi="Times New Roman" w:cs="Times New Roman"/>
                <w:sz w:val="20"/>
                <w:szCs w:val="20"/>
                <w:lang w:val="en-US"/>
              </w:rPr>
              <w:t>5</w:t>
            </w:r>
          </w:p>
        </w:tc>
        <w:tc>
          <w:tcPr>
            <w:tcW w:w="616" w:type="pct"/>
            <w:vAlign w:val="bottom"/>
          </w:tcPr>
          <w:p w14:paraId="04AEE07C" w14:textId="0DD28004"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4</w:t>
            </w:r>
            <w:r w:rsidR="001401A3" w:rsidRPr="006C2B6A">
              <w:rPr>
                <w:rFonts w:ascii="Times New Roman" w:hAnsi="Times New Roman" w:cs="Times New Roman"/>
                <w:spacing w:val="-2"/>
                <w:kern w:val="16"/>
                <w:sz w:val="20"/>
                <w:szCs w:val="20"/>
                <w:lang w:val="en-US"/>
              </w:rPr>
              <w:t>.8</w:t>
            </w:r>
          </w:p>
        </w:tc>
      </w:tr>
      <w:tr w:rsidR="001401A3" w:rsidRPr="006C2B6A" w14:paraId="0177D57D" w14:textId="77777777" w:rsidTr="00B65F0F">
        <w:tc>
          <w:tcPr>
            <w:tcW w:w="1273" w:type="pct"/>
            <w:vAlign w:val="bottom"/>
          </w:tcPr>
          <w:p w14:paraId="4A554A56" w14:textId="163A00AA"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 xml:space="preserve">18 </w:t>
            </w:r>
            <w:r w:rsidR="006C2B6A" w:rsidRPr="006C2B6A">
              <w:rPr>
                <w:rFonts w:ascii="Times New Roman" w:hAnsi="Times New Roman" w:cs="Times New Roman"/>
                <w:spacing w:val="-2"/>
                <w:kern w:val="16"/>
                <w:sz w:val="20"/>
                <w:szCs w:val="20"/>
                <w:lang w:val="en-US"/>
              </w:rPr>
              <w:t>years old and under</w:t>
            </w:r>
          </w:p>
        </w:tc>
        <w:tc>
          <w:tcPr>
            <w:tcW w:w="655" w:type="pct"/>
            <w:vAlign w:val="bottom"/>
          </w:tcPr>
          <w:p w14:paraId="4511AD78" w14:textId="485AECD5"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4</w:t>
            </w:r>
            <w:r w:rsidRPr="006C2B6A">
              <w:rPr>
                <w:rFonts w:ascii="Times New Roman" w:hAnsi="Times New Roman" w:cs="Times New Roman"/>
                <w:sz w:val="20"/>
                <w:szCs w:val="20"/>
                <w:lang w:val="en-US"/>
              </w:rPr>
              <w:t>4</w:t>
            </w:r>
          </w:p>
        </w:tc>
        <w:tc>
          <w:tcPr>
            <w:tcW w:w="655" w:type="pct"/>
            <w:vAlign w:val="bottom"/>
          </w:tcPr>
          <w:p w14:paraId="5238A178" w14:textId="46F96E61"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3</w:t>
            </w:r>
            <w:r w:rsidR="001401A3" w:rsidRPr="006C2B6A">
              <w:rPr>
                <w:rFonts w:ascii="Times New Roman" w:hAnsi="Times New Roman" w:cs="Times New Roman"/>
                <w:spacing w:val="-2"/>
                <w:kern w:val="16"/>
                <w:sz w:val="20"/>
                <w:szCs w:val="20"/>
                <w:lang w:val="en-US"/>
              </w:rPr>
              <w:t>.</w:t>
            </w:r>
            <w:r w:rsidRPr="006C2B6A">
              <w:rPr>
                <w:rFonts w:ascii="Times New Roman" w:hAnsi="Times New Roman" w:cs="Times New Roman"/>
                <w:spacing w:val="-2"/>
                <w:kern w:val="16"/>
                <w:sz w:val="20"/>
                <w:szCs w:val="20"/>
                <w:lang w:val="en-US"/>
              </w:rPr>
              <w:t>5</w:t>
            </w:r>
          </w:p>
        </w:tc>
        <w:tc>
          <w:tcPr>
            <w:tcW w:w="1277" w:type="pct"/>
          </w:tcPr>
          <w:p w14:paraId="6197605E" w14:textId="1932E2EF" w:rsidR="001401A3" w:rsidRPr="006C2B6A"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lang w:val="en-US"/>
              </w:rPr>
            </w:pPr>
            <w:r w:rsidRPr="006C2B6A">
              <w:rPr>
                <w:rFonts w:ascii="Times New Roman" w:hAnsi="Times New Roman" w:cs="Times New Roman"/>
                <w:color w:val="000000"/>
                <w:spacing w:val="-2"/>
                <w:kern w:val="16"/>
                <w:sz w:val="20"/>
                <w:szCs w:val="20"/>
                <w:lang w:val="en-US"/>
              </w:rPr>
              <w:t>Education</w:t>
            </w:r>
          </w:p>
        </w:tc>
        <w:tc>
          <w:tcPr>
            <w:tcW w:w="524" w:type="pct"/>
            <w:vAlign w:val="bottom"/>
          </w:tcPr>
          <w:p w14:paraId="0758E5F2" w14:textId="276DD6B2"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8</w:t>
            </w:r>
            <w:r w:rsidRPr="006C2B6A">
              <w:rPr>
                <w:rFonts w:ascii="Times New Roman" w:hAnsi="Times New Roman" w:cs="Times New Roman"/>
                <w:sz w:val="20"/>
                <w:szCs w:val="20"/>
                <w:lang w:val="en-US"/>
              </w:rPr>
              <w:t>8</w:t>
            </w:r>
          </w:p>
        </w:tc>
        <w:tc>
          <w:tcPr>
            <w:tcW w:w="616" w:type="pct"/>
            <w:vAlign w:val="bottom"/>
          </w:tcPr>
          <w:p w14:paraId="787A28B0" w14:textId="2C97A6AD"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3</w:t>
            </w:r>
            <w:r w:rsidR="001401A3" w:rsidRPr="006C2B6A">
              <w:rPr>
                <w:rFonts w:ascii="Times New Roman" w:hAnsi="Times New Roman" w:cs="Times New Roman"/>
                <w:spacing w:val="-2"/>
                <w:kern w:val="16"/>
                <w:sz w:val="20"/>
                <w:szCs w:val="20"/>
                <w:lang w:val="en-US"/>
              </w:rPr>
              <w:t>.1</w:t>
            </w:r>
          </w:p>
        </w:tc>
      </w:tr>
      <w:tr w:rsidR="001401A3" w:rsidRPr="006C2B6A" w14:paraId="401531A4" w14:textId="77777777" w:rsidTr="00B65F0F">
        <w:tc>
          <w:tcPr>
            <w:tcW w:w="1273" w:type="pct"/>
            <w:vAlign w:val="bottom"/>
          </w:tcPr>
          <w:p w14:paraId="6D45BF19" w14:textId="69C1763B"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 xml:space="preserve">19-23  </w:t>
            </w:r>
          </w:p>
        </w:tc>
        <w:tc>
          <w:tcPr>
            <w:tcW w:w="655" w:type="pct"/>
            <w:vAlign w:val="bottom"/>
          </w:tcPr>
          <w:p w14:paraId="27C1261C" w14:textId="306409CE"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6</w:t>
            </w:r>
            <w:r w:rsidRPr="006C2B6A">
              <w:rPr>
                <w:rFonts w:ascii="Times New Roman" w:hAnsi="Times New Roman" w:cs="Times New Roman"/>
                <w:sz w:val="20"/>
                <w:szCs w:val="20"/>
                <w:lang w:val="en-US"/>
              </w:rPr>
              <w:t>66</w:t>
            </w:r>
          </w:p>
        </w:tc>
        <w:tc>
          <w:tcPr>
            <w:tcW w:w="655" w:type="pct"/>
            <w:vAlign w:val="bottom"/>
          </w:tcPr>
          <w:p w14:paraId="37DFC123" w14:textId="7818368B"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5</w:t>
            </w:r>
            <w:r w:rsidR="001401A3" w:rsidRPr="006C2B6A">
              <w:rPr>
                <w:rFonts w:ascii="Times New Roman" w:hAnsi="Times New Roman" w:cs="Times New Roman"/>
                <w:spacing w:val="-2"/>
                <w:kern w:val="16"/>
                <w:sz w:val="20"/>
                <w:szCs w:val="20"/>
                <w:lang w:val="en-US"/>
              </w:rPr>
              <w:t>.5</w:t>
            </w:r>
          </w:p>
        </w:tc>
        <w:tc>
          <w:tcPr>
            <w:tcW w:w="1277" w:type="pct"/>
          </w:tcPr>
          <w:p w14:paraId="1E0121B3" w14:textId="4D9EF9DB" w:rsidR="001401A3" w:rsidRPr="006C2B6A"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lang w:val="en-US"/>
              </w:rPr>
            </w:pPr>
            <w:r w:rsidRPr="006C2B6A">
              <w:rPr>
                <w:rFonts w:ascii="Times New Roman" w:hAnsi="Times New Roman" w:cs="Times New Roman"/>
                <w:color w:val="000000"/>
                <w:spacing w:val="-2"/>
                <w:kern w:val="16"/>
                <w:sz w:val="20"/>
                <w:szCs w:val="20"/>
                <w:lang w:val="en-US"/>
              </w:rPr>
              <w:t>Primary Education</w:t>
            </w:r>
          </w:p>
        </w:tc>
        <w:tc>
          <w:tcPr>
            <w:tcW w:w="524" w:type="pct"/>
            <w:vAlign w:val="bottom"/>
          </w:tcPr>
          <w:p w14:paraId="2C769C88" w14:textId="43A949E3"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5</w:t>
            </w:r>
            <w:r w:rsidRPr="006C2B6A">
              <w:rPr>
                <w:rFonts w:ascii="Times New Roman" w:hAnsi="Times New Roman" w:cs="Times New Roman"/>
                <w:sz w:val="20"/>
                <w:szCs w:val="20"/>
                <w:lang w:val="en-US"/>
              </w:rPr>
              <w:t>5</w:t>
            </w:r>
          </w:p>
        </w:tc>
        <w:tc>
          <w:tcPr>
            <w:tcW w:w="616" w:type="pct"/>
            <w:vAlign w:val="bottom"/>
          </w:tcPr>
          <w:p w14:paraId="5D5FD257" w14:textId="094C77A0"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3</w:t>
            </w:r>
            <w:r w:rsidR="001401A3" w:rsidRPr="006C2B6A">
              <w:rPr>
                <w:rFonts w:ascii="Times New Roman" w:hAnsi="Times New Roman" w:cs="Times New Roman"/>
                <w:spacing w:val="-2"/>
                <w:kern w:val="16"/>
                <w:sz w:val="20"/>
                <w:szCs w:val="20"/>
                <w:lang w:val="en-US"/>
              </w:rPr>
              <w:t>.9</w:t>
            </w:r>
          </w:p>
        </w:tc>
      </w:tr>
      <w:tr w:rsidR="001401A3" w:rsidRPr="006C2B6A" w14:paraId="0B20F4EB" w14:textId="77777777" w:rsidTr="00B65F0F">
        <w:tc>
          <w:tcPr>
            <w:tcW w:w="1273" w:type="pct"/>
            <w:vAlign w:val="bottom"/>
          </w:tcPr>
          <w:p w14:paraId="081E38D9" w14:textId="3DE1AF91"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 xml:space="preserve">24-28 </w:t>
            </w:r>
          </w:p>
        </w:tc>
        <w:tc>
          <w:tcPr>
            <w:tcW w:w="655" w:type="pct"/>
            <w:vAlign w:val="bottom"/>
          </w:tcPr>
          <w:p w14:paraId="0A778F43" w14:textId="77777777"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222</w:t>
            </w:r>
          </w:p>
        </w:tc>
        <w:tc>
          <w:tcPr>
            <w:tcW w:w="655" w:type="pct"/>
            <w:vAlign w:val="bottom"/>
          </w:tcPr>
          <w:p w14:paraId="27BFBA2F" w14:textId="71F7E11E"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4</w:t>
            </w:r>
            <w:r w:rsidR="001401A3" w:rsidRPr="006C2B6A">
              <w:rPr>
                <w:rFonts w:ascii="Times New Roman" w:hAnsi="Times New Roman" w:cs="Times New Roman"/>
                <w:spacing w:val="-2"/>
                <w:kern w:val="16"/>
                <w:sz w:val="20"/>
                <w:szCs w:val="20"/>
                <w:lang w:val="en-US"/>
              </w:rPr>
              <w:t>.0</w:t>
            </w:r>
          </w:p>
        </w:tc>
        <w:tc>
          <w:tcPr>
            <w:tcW w:w="1277" w:type="pct"/>
          </w:tcPr>
          <w:p w14:paraId="01566370" w14:textId="5E94CBE0" w:rsidR="001401A3" w:rsidRPr="006C2B6A" w:rsidRDefault="006C2B6A"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lang w:val="en-US"/>
              </w:rPr>
            </w:pPr>
            <w:r>
              <w:rPr>
                <w:rFonts w:ascii="Times New Roman" w:hAnsi="Times New Roman" w:cs="Times New Roman"/>
                <w:color w:val="000000"/>
                <w:spacing w:val="-2"/>
                <w:kern w:val="16"/>
                <w:sz w:val="20"/>
                <w:szCs w:val="20"/>
                <w:lang w:val="en-US"/>
              </w:rPr>
              <w:t>Highschool</w:t>
            </w:r>
          </w:p>
        </w:tc>
        <w:tc>
          <w:tcPr>
            <w:tcW w:w="524" w:type="pct"/>
            <w:vAlign w:val="bottom"/>
          </w:tcPr>
          <w:p w14:paraId="6A31624D" w14:textId="34E41FBF"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7</w:t>
            </w:r>
            <w:r w:rsidRPr="006C2B6A">
              <w:rPr>
                <w:rFonts w:ascii="Times New Roman" w:hAnsi="Times New Roman" w:cs="Times New Roman"/>
                <w:sz w:val="20"/>
                <w:szCs w:val="20"/>
                <w:lang w:val="en-US"/>
              </w:rPr>
              <w:t>7</w:t>
            </w:r>
          </w:p>
        </w:tc>
        <w:tc>
          <w:tcPr>
            <w:tcW w:w="616" w:type="pct"/>
            <w:vAlign w:val="bottom"/>
          </w:tcPr>
          <w:p w14:paraId="03952108" w14:textId="746ABDB5"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2</w:t>
            </w:r>
            <w:r w:rsidR="001401A3" w:rsidRPr="006C2B6A">
              <w:rPr>
                <w:rFonts w:ascii="Times New Roman" w:hAnsi="Times New Roman" w:cs="Times New Roman"/>
                <w:spacing w:val="-2"/>
                <w:kern w:val="16"/>
                <w:sz w:val="20"/>
                <w:szCs w:val="20"/>
                <w:lang w:val="en-US"/>
              </w:rPr>
              <w:t>.3</w:t>
            </w:r>
          </w:p>
        </w:tc>
      </w:tr>
      <w:tr w:rsidR="001401A3" w:rsidRPr="006C2B6A" w14:paraId="69222286" w14:textId="77777777" w:rsidTr="00B65F0F">
        <w:tc>
          <w:tcPr>
            <w:tcW w:w="1273" w:type="pct"/>
            <w:vAlign w:val="bottom"/>
          </w:tcPr>
          <w:p w14:paraId="0A609A04" w14:textId="5E7AFFB6"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29-33</w:t>
            </w:r>
          </w:p>
        </w:tc>
        <w:tc>
          <w:tcPr>
            <w:tcW w:w="655" w:type="pct"/>
            <w:vAlign w:val="bottom"/>
          </w:tcPr>
          <w:p w14:paraId="3701393C" w14:textId="77777777" w:rsidR="001401A3" w:rsidRPr="006C2B6A" w:rsidRDefault="001401A3"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123</w:t>
            </w:r>
          </w:p>
        </w:tc>
        <w:tc>
          <w:tcPr>
            <w:tcW w:w="655" w:type="pct"/>
            <w:vAlign w:val="bottom"/>
          </w:tcPr>
          <w:p w14:paraId="44FD8BF6" w14:textId="63563689"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6</w:t>
            </w:r>
            <w:r w:rsidR="001401A3" w:rsidRPr="006C2B6A">
              <w:rPr>
                <w:rFonts w:ascii="Times New Roman" w:hAnsi="Times New Roman" w:cs="Times New Roman"/>
                <w:spacing w:val="-2"/>
                <w:kern w:val="16"/>
                <w:sz w:val="20"/>
                <w:szCs w:val="20"/>
                <w:lang w:val="en-US"/>
              </w:rPr>
              <w:t>.6</w:t>
            </w:r>
          </w:p>
        </w:tc>
        <w:tc>
          <w:tcPr>
            <w:tcW w:w="1277" w:type="pct"/>
            <w:vAlign w:val="bottom"/>
          </w:tcPr>
          <w:p w14:paraId="4DEF3C0D" w14:textId="6A506CB7" w:rsidR="001401A3" w:rsidRPr="006C2B6A" w:rsidRDefault="006C2B6A"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University</w:t>
            </w:r>
          </w:p>
        </w:tc>
        <w:tc>
          <w:tcPr>
            <w:tcW w:w="524" w:type="pct"/>
            <w:vAlign w:val="bottom"/>
          </w:tcPr>
          <w:p w14:paraId="6DDF96D6" w14:textId="5ADAD2C8"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8</w:t>
            </w:r>
            <w:r w:rsidRPr="006C2B6A">
              <w:rPr>
                <w:rFonts w:ascii="Times New Roman" w:hAnsi="Times New Roman" w:cs="Times New Roman"/>
                <w:sz w:val="20"/>
                <w:szCs w:val="20"/>
                <w:lang w:val="en-US"/>
              </w:rPr>
              <w:t>8</w:t>
            </w:r>
          </w:p>
        </w:tc>
        <w:tc>
          <w:tcPr>
            <w:tcW w:w="616" w:type="pct"/>
            <w:vAlign w:val="bottom"/>
          </w:tcPr>
          <w:p w14:paraId="35AA80F6" w14:textId="246B9F8D" w:rsidR="001401A3" w:rsidRPr="006C2B6A" w:rsidRDefault="00231DA5" w:rsidP="00231DA5">
            <w:pPr>
              <w:suppressAutoHyphens/>
              <w:spacing w:after="0" w:line="240" w:lineRule="exact"/>
              <w:jc w:val="both"/>
              <w:rPr>
                <w:rFonts w:ascii="Times New Roman" w:hAnsi="Times New Roman" w:cs="Times New Roman"/>
                <w:spacing w:val="-2"/>
                <w:kern w:val="16"/>
                <w:sz w:val="20"/>
                <w:szCs w:val="20"/>
                <w:lang w:val="en-US"/>
              </w:rPr>
            </w:pPr>
            <w:r w:rsidRPr="006C2B6A">
              <w:rPr>
                <w:rFonts w:ascii="Times New Roman" w:hAnsi="Times New Roman" w:cs="Times New Roman"/>
                <w:spacing w:val="-2"/>
                <w:kern w:val="16"/>
                <w:sz w:val="20"/>
                <w:szCs w:val="20"/>
                <w:lang w:val="en-US"/>
              </w:rPr>
              <w:t>1</w:t>
            </w:r>
            <w:r w:rsidR="001401A3" w:rsidRPr="006C2B6A">
              <w:rPr>
                <w:rFonts w:ascii="Times New Roman" w:hAnsi="Times New Roman" w:cs="Times New Roman"/>
                <w:spacing w:val="-2"/>
                <w:kern w:val="16"/>
                <w:sz w:val="20"/>
                <w:szCs w:val="20"/>
                <w:lang w:val="en-US"/>
              </w:rPr>
              <w:t>.9</w:t>
            </w:r>
          </w:p>
        </w:tc>
      </w:tr>
    </w:tbl>
    <w:p w14:paraId="557F77EA" w14:textId="744E3B5E" w:rsidR="00231DA5" w:rsidRPr="006C2B6A" w:rsidRDefault="00231DA5" w:rsidP="00231DA5">
      <w:pPr>
        <w:suppressAutoHyphens/>
        <w:spacing w:after="120" w:line="240" w:lineRule="exact"/>
        <w:jc w:val="both"/>
        <w:rPr>
          <w:rFonts w:ascii="Times New Roman" w:hAnsi="Times New Roman" w:cs="Times New Roman"/>
          <w:spacing w:val="-2"/>
          <w:kern w:val="16"/>
          <w:sz w:val="18"/>
          <w:szCs w:val="18"/>
          <w:lang w:val="en-US"/>
        </w:rPr>
      </w:pPr>
      <w:r w:rsidRPr="006C2B6A">
        <w:rPr>
          <w:rFonts w:ascii="Times New Roman" w:hAnsi="Times New Roman" w:cs="Times New Roman"/>
          <w:spacing w:val="-2"/>
          <w:kern w:val="16"/>
          <w:sz w:val="18"/>
          <w:szCs w:val="18"/>
          <w:lang w:val="en-US"/>
        </w:rPr>
        <w:t xml:space="preserve">E 4.0 F.= </w:t>
      </w:r>
      <w:r w:rsidR="006C2B6A" w:rsidRPr="006C2B6A">
        <w:rPr>
          <w:rFonts w:ascii="Times New Roman" w:hAnsi="Times New Roman" w:cs="Times New Roman"/>
          <w:spacing w:val="-2"/>
          <w:kern w:val="16"/>
          <w:sz w:val="18"/>
          <w:szCs w:val="18"/>
          <w:lang w:val="en-US"/>
        </w:rPr>
        <w:t>Industry 4.0 Intent, GN = Entrepreneurship</w:t>
      </w:r>
      <w:r w:rsidRPr="006C2B6A">
        <w:rPr>
          <w:rFonts w:ascii="Times New Roman" w:hAnsi="Times New Roman" w:cs="Times New Roman"/>
          <w:spacing w:val="-2"/>
          <w:kern w:val="16"/>
          <w:sz w:val="18"/>
          <w:szCs w:val="18"/>
          <w:lang w:val="en-US"/>
        </w:rPr>
        <w:t>, M/SD. = Mean/Standard, α= Alpha, **p &lt; 0.01</w:t>
      </w:r>
    </w:p>
    <w:p w14:paraId="19A1DB65" w14:textId="22760062" w:rsidR="004C47CD"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noProof/>
          <w:spacing w:val="-2"/>
          <w:kern w:val="16"/>
          <w:lang w:val="en-US" w:eastAsia="tr-TR"/>
        </w:rPr>
        <w:drawing>
          <wp:anchor distT="0" distB="0" distL="114300" distR="114300" simplePos="0" relativeHeight="251658752" behindDoc="0" locked="0" layoutInCell="1" allowOverlap="1" wp14:anchorId="5E90A0DC" wp14:editId="557686A7">
            <wp:simplePos x="0" y="0"/>
            <wp:positionH relativeFrom="column">
              <wp:posOffset>12700</wp:posOffset>
            </wp:positionH>
            <wp:positionV relativeFrom="paragraph">
              <wp:posOffset>468630</wp:posOffset>
            </wp:positionV>
            <wp:extent cx="4636770" cy="1911350"/>
            <wp:effectExtent l="0" t="0" r="0" b="0"/>
            <wp:wrapTopAndBottom/>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7810" b="6965"/>
                    <a:stretch>
                      <a:fillRect/>
                    </a:stretch>
                  </pic:blipFill>
                  <pic:spPr bwMode="auto">
                    <a:xfrm>
                      <a:off x="0" y="0"/>
                      <a:ext cx="463677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2B6A">
        <w:rPr>
          <w:rFonts w:ascii="Times New Roman" w:eastAsia="Times New Roman" w:hAnsi="Times New Roman" w:cs="Times New Roman"/>
          <w:noProof/>
          <w:spacing w:val="-2"/>
          <w:kern w:val="16"/>
          <w:lang w:val="en-US" w:eastAsia="tr-TR"/>
        </w:rPr>
        <w:t xml:space="preserve">When examining the distribution of students participating in the study, 58.1% were female and 41.9% were male. Looking at academic achievement levels, </w:t>
      </w:r>
      <w:r w:rsidRPr="006C2B6A">
        <w:rPr>
          <w:rFonts w:ascii="Times New Roman" w:eastAsia="Times New Roman" w:hAnsi="Times New Roman" w:cs="Times New Roman"/>
          <w:spacing w:val="-2"/>
          <w:kern w:val="16"/>
          <w:lang w:val="en-US" w:eastAsia="tr-TR"/>
        </w:rPr>
        <w:t>more</w:t>
      </w:r>
      <w:r w:rsidRPr="006C2B6A">
        <w:rPr>
          <w:rFonts w:ascii="Times New Roman" w:eastAsia="Times New Roman" w:hAnsi="Times New Roman" w:cs="Times New Roman"/>
          <w:noProof/>
          <w:spacing w:val="-2"/>
          <w:kern w:val="16"/>
          <w:lang w:val="en-US" w:eastAsia="tr-TR"/>
        </w:rPr>
        <w:t xml:space="preserve"> than half of the students were at an intermediate level.</w:t>
      </w:r>
    </w:p>
    <w:p w14:paraId="42EC7F16" w14:textId="5F9FD2B1" w:rsidR="000F71E7" w:rsidRPr="006C2B6A" w:rsidRDefault="00B9119C" w:rsidP="004C47CD">
      <w:pPr>
        <w:suppressAutoHyphens/>
        <w:spacing w:before="120" w:after="120" w:line="240" w:lineRule="exact"/>
        <w:jc w:val="both"/>
        <w:rPr>
          <w:rFonts w:ascii="Times New Roman" w:hAnsi="Times New Roman" w:cs="Times New Roman"/>
          <w:bCs/>
          <w:spacing w:val="-2"/>
          <w:kern w:val="16"/>
          <w:sz w:val="20"/>
          <w:szCs w:val="20"/>
          <w:lang w:val="en-US"/>
        </w:rPr>
      </w:pPr>
      <w:r>
        <w:rPr>
          <w:rFonts w:ascii="Times New Roman" w:hAnsi="Times New Roman" w:cs="Times New Roman"/>
          <w:b/>
          <w:spacing w:val="-2"/>
          <w:kern w:val="16"/>
          <w:sz w:val="20"/>
          <w:szCs w:val="20"/>
          <w:lang w:val="en-US"/>
        </w:rPr>
        <w:t>FIGURE</w:t>
      </w:r>
      <w:r w:rsidR="000F71E7" w:rsidRPr="006C2B6A">
        <w:rPr>
          <w:rFonts w:ascii="Times New Roman" w:hAnsi="Times New Roman" w:cs="Times New Roman"/>
          <w:b/>
          <w:spacing w:val="-2"/>
          <w:kern w:val="16"/>
          <w:sz w:val="20"/>
          <w:szCs w:val="20"/>
          <w:lang w:val="en-US"/>
        </w:rPr>
        <w:t xml:space="preserve"> 2. </w:t>
      </w:r>
      <w:r w:rsidR="006C2B6A" w:rsidRPr="006C2B6A">
        <w:rPr>
          <w:rFonts w:ascii="Times New Roman" w:hAnsi="Times New Roman" w:cs="Times New Roman"/>
          <w:bCs/>
          <w:spacing w:val="-2"/>
          <w:kern w:val="16"/>
          <w:sz w:val="20"/>
          <w:szCs w:val="20"/>
          <w:lang w:val="en-US"/>
        </w:rPr>
        <w:t>Unemployment Rates in European Union Countries</w:t>
      </w:r>
    </w:p>
    <w:p w14:paraId="08E6C8A7" w14:textId="20EDA60F" w:rsidR="00AB5089" w:rsidRPr="006C2B6A" w:rsidRDefault="00AB5089" w:rsidP="000F71E7">
      <w:pPr>
        <w:suppressAutoHyphens/>
        <w:spacing w:after="240" w:line="240" w:lineRule="exact"/>
        <w:jc w:val="both"/>
        <w:rPr>
          <w:rFonts w:ascii="Times New Roman" w:hAnsi="Times New Roman" w:cs="Times New Roman"/>
          <w:bCs/>
          <w:spacing w:val="-2"/>
          <w:kern w:val="16"/>
          <w:sz w:val="18"/>
          <w:szCs w:val="18"/>
          <w:lang w:val="en-US"/>
        </w:rPr>
      </w:pPr>
      <w:r w:rsidRPr="006C2B6A">
        <w:rPr>
          <w:rFonts w:ascii="Times New Roman" w:hAnsi="Times New Roman" w:cs="Times New Roman"/>
          <w:bCs/>
          <w:i/>
          <w:iCs/>
          <w:spacing w:val="-2"/>
          <w:kern w:val="16"/>
          <w:sz w:val="18"/>
          <w:szCs w:val="18"/>
          <w:lang w:val="en-US"/>
        </w:rPr>
        <w:t>Note:</w:t>
      </w:r>
      <w:r w:rsidRPr="006C2B6A">
        <w:rPr>
          <w:rFonts w:ascii="Times New Roman" w:hAnsi="Times New Roman" w:cs="Times New Roman"/>
          <w:bCs/>
          <w:spacing w:val="-2"/>
          <w:kern w:val="16"/>
          <w:sz w:val="18"/>
          <w:szCs w:val="18"/>
          <w:lang w:val="en-US"/>
        </w:rPr>
        <w:t xml:space="preserve"> </w:t>
      </w:r>
      <w:r w:rsidR="006C2B6A" w:rsidRPr="006C2B6A">
        <w:rPr>
          <w:rFonts w:ascii="Times New Roman" w:hAnsi="Times New Roman" w:cs="Times New Roman"/>
          <w:bCs/>
          <w:spacing w:val="-2"/>
          <w:kern w:val="16"/>
          <w:sz w:val="18"/>
          <w:szCs w:val="18"/>
          <w:lang w:val="en-US"/>
        </w:rPr>
        <w:t>The unemployment rates have been prepared by the authors according to the 2000 calculation method.</w:t>
      </w:r>
    </w:p>
    <w:p w14:paraId="3943FD82" w14:textId="73D330EA" w:rsidR="006C2B6A" w:rsidRDefault="00BF19A0"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Most</w:t>
      </w:r>
      <w:r w:rsidR="006C2B6A" w:rsidRPr="006C2B6A">
        <w:rPr>
          <w:rFonts w:ascii="Times New Roman" w:eastAsia="Times New Roman" w:hAnsi="Times New Roman" w:cs="Times New Roman"/>
          <w:spacing w:val="-2"/>
          <w:kern w:val="16"/>
          <w:lang w:val="en-US" w:eastAsia="tr-TR"/>
        </w:rPr>
        <w:t xml:space="preserve"> participants are undergraduate students, accounting for 57.5 per cent, followed by associate degree students at 27.8 per cent and postgraduate students at 14.7 per cent. As a result, academic achievement does not play a regulatory role, but the effect of Industry 4.0 awareness on entrepreneurial intention continues to be positive and significant, independent of academic achievement level. Figure 3 shows that, regardless of students' academic performance levels, </w:t>
      </w:r>
      <w:r w:rsidRPr="006C2B6A">
        <w:rPr>
          <w:rFonts w:ascii="Times New Roman" w:eastAsia="Times New Roman" w:hAnsi="Times New Roman" w:cs="Times New Roman"/>
          <w:spacing w:val="-2"/>
          <w:kern w:val="16"/>
          <w:lang w:val="en-US" w:eastAsia="tr-TR"/>
        </w:rPr>
        <w:t>digitalization</w:t>
      </w:r>
      <w:r w:rsidR="006C2B6A" w:rsidRPr="006C2B6A">
        <w:rPr>
          <w:rFonts w:ascii="Times New Roman" w:eastAsia="Times New Roman" w:hAnsi="Times New Roman" w:cs="Times New Roman"/>
          <w:spacing w:val="-2"/>
          <w:kern w:val="16"/>
          <w:lang w:val="en-US" w:eastAsia="tr-TR"/>
        </w:rPr>
        <w:t xml:space="preserve"> and Industry 4.0 awareness increase their entrepreneurial intentions, with 54.6% having a strong level of achievement and 38.3% and 7.1% weak levels of success. It is understood that </w:t>
      </w:r>
      <w:r w:rsidRPr="006C2B6A">
        <w:rPr>
          <w:rFonts w:ascii="Times New Roman" w:eastAsia="Times New Roman" w:hAnsi="Times New Roman" w:cs="Times New Roman"/>
          <w:spacing w:val="-2"/>
          <w:kern w:val="16"/>
          <w:lang w:val="en-US" w:eastAsia="tr-TR"/>
        </w:rPr>
        <w:t>many</w:t>
      </w:r>
      <w:r w:rsidR="006C2B6A" w:rsidRPr="006C2B6A">
        <w:rPr>
          <w:rFonts w:ascii="Times New Roman" w:eastAsia="Times New Roman" w:hAnsi="Times New Roman" w:cs="Times New Roman"/>
          <w:spacing w:val="-2"/>
          <w:kern w:val="16"/>
          <w:lang w:val="en-US" w:eastAsia="tr-TR"/>
        </w:rPr>
        <w:t xml:space="preserve"> participants are distributed in the 19–23 age range, followed by the 24–28 age group with 19.0% and the 29 and above age groups. </w:t>
      </w:r>
    </w:p>
    <w:p w14:paraId="2F9CB467" w14:textId="566185C4" w:rsidR="008C633A" w:rsidRPr="006C2B6A" w:rsidRDefault="0095635C" w:rsidP="000F71E7">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t>5</w:t>
      </w:r>
      <w:r w:rsidR="008C633A" w:rsidRPr="006C2B6A">
        <w:rPr>
          <w:rFonts w:ascii="Times New Roman" w:hAnsi="Times New Roman" w:cs="Times New Roman"/>
          <w:b/>
          <w:bCs/>
          <w:spacing w:val="-2"/>
          <w:kern w:val="16"/>
          <w:lang w:val="en-US"/>
        </w:rPr>
        <w:t xml:space="preserve">. </w:t>
      </w:r>
      <w:r w:rsidR="006C2B6A">
        <w:rPr>
          <w:rFonts w:ascii="Times New Roman" w:hAnsi="Times New Roman" w:cs="Times New Roman"/>
          <w:b/>
          <w:bCs/>
          <w:spacing w:val="-2"/>
          <w:kern w:val="16"/>
          <w:lang w:val="en-US"/>
        </w:rPr>
        <w:t>Result</w:t>
      </w:r>
    </w:p>
    <w:p w14:paraId="35A3ED23" w14:textId="28D1B819" w:rsidR="006C2B6A"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This study contributes to the literature by examining the impact of Industry 4.0 awareness on entrepreneurial intention and the regulatory roles of demographic factors within a comprehensive model. This contribution is expansive in nature as it both centers on the technological awareness dimension and incorporates demographic factors such as academic achievement, gender, age, education, and parental education as regulatory moderators.</w:t>
      </w:r>
    </w:p>
    <w:p w14:paraId="76ACC5DE" w14:textId="49A29278" w:rsidR="00E908FC" w:rsidRPr="006C2B6A" w:rsidRDefault="006C2B6A" w:rsidP="000939F1">
      <w:pPr>
        <w:suppressAutoHyphens/>
        <w:spacing w:before="120" w:after="120" w:line="280" w:lineRule="exact"/>
        <w:jc w:val="both"/>
        <w:rPr>
          <w:rFonts w:ascii="Times New Roman" w:eastAsia="Times New Roman" w:hAnsi="Times New Roman" w:cs="Times New Roman"/>
          <w:spacing w:val="-2"/>
          <w:kern w:val="16"/>
          <w:lang w:val="en-US" w:eastAsia="tr-TR"/>
        </w:rPr>
      </w:pPr>
      <w:r w:rsidRPr="006C2B6A">
        <w:rPr>
          <w:rFonts w:ascii="Times New Roman" w:eastAsia="Times New Roman" w:hAnsi="Times New Roman" w:cs="Times New Roman"/>
          <w:spacing w:val="-2"/>
          <w:kern w:val="16"/>
          <w:lang w:val="en-US" w:eastAsia="tr-TR"/>
        </w:rPr>
        <w:t>Data was collected using both physical questionnaire forms and online Google Forms. The data obtained were analyzed using SPST, SRSM, and PROCE software, thereby testing both the basic relationships and the regulatory effects predicted in the theoretical model.</w:t>
      </w:r>
      <w:r w:rsidR="00910A9E" w:rsidRPr="00910A9E">
        <w:rPr>
          <w:rFonts w:ascii="Times New Roman" w:eastAsia="Times New Roman" w:hAnsi="Times New Roman" w:cs="Times New Roman"/>
          <w:spacing w:val="-2"/>
          <w:kern w:val="16"/>
          <w:lang w:val="en-US" w:eastAsia="tr-TR"/>
        </w:rPr>
        <w:t xml:space="preserve"> </w:t>
      </w:r>
      <w:r w:rsidR="00910A9E" w:rsidRPr="006C2B6A">
        <w:rPr>
          <w:rFonts w:ascii="Times New Roman" w:eastAsia="Times New Roman" w:hAnsi="Times New Roman" w:cs="Times New Roman"/>
          <w:spacing w:val="-2"/>
          <w:kern w:val="16"/>
          <w:lang w:val="en-US" w:eastAsia="tr-TR"/>
        </w:rPr>
        <w:t>The data obtained were analyzed using SPST, SRSM, and PROCE software, thereby testing both the basic relationships and the regulatory effects predicted in the theoretical model.</w:t>
      </w:r>
    </w:p>
    <w:p w14:paraId="5A046A6E" w14:textId="51699B47" w:rsidR="008C633A" w:rsidRPr="006C2B6A" w:rsidRDefault="006C2B6A" w:rsidP="000F71E7">
      <w:pPr>
        <w:suppressAutoHyphens/>
        <w:spacing w:before="360" w:after="360" w:line="240" w:lineRule="exact"/>
        <w:jc w:val="both"/>
        <w:outlineLvl w:val="0"/>
        <w:rPr>
          <w:rFonts w:ascii="Times New Roman" w:hAnsi="Times New Roman" w:cs="Times New Roman"/>
          <w:b/>
          <w:bCs/>
          <w:spacing w:val="-2"/>
          <w:kern w:val="16"/>
          <w:lang w:val="en-US"/>
        </w:rPr>
      </w:pPr>
      <w:r w:rsidRPr="006C2B6A">
        <w:rPr>
          <w:rFonts w:ascii="Times New Roman" w:hAnsi="Times New Roman" w:cs="Times New Roman"/>
          <w:b/>
          <w:bCs/>
          <w:spacing w:val="-2"/>
          <w:kern w:val="16"/>
          <w:lang w:val="en-US"/>
        </w:rPr>
        <w:lastRenderedPageBreak/>
        <w:t>References</w:t>
      </w:r>
    </w:p>
    <w:p w14:paraId="4BE855EB" w14:textId="4DE8433F" w:rsidR="00DA6733" w:rsidRPr="006C2B6A" w:rsidRDefault="00AB5089" w:rsidP="00B611EC">
      <w:pPr>
        <w:pStyle w:val="NormalWeb"/>
        <w:suppressAutoHyphens/>
        <w:spacing w:before="60" w:beforeAutospacing="0" w:after="60" w:afterAutospacing="0" w:line="280" w:lineRule="exact"/>
        <w:ind w:left="284" w:hanging="284"/>
        <w:jc w:val="both"/>
        <w:rPr>
          <w:spacing w:val="-2"/>
          <w:kern w:val="16"/>
          <w:sz w:val="20"/>
          <w:szCs w:val="20"/>
          <w:lang w:val="en-US"/>
        </w:rPr>
      </w:pPr>
      <w:bookmarkStart w:id="1" w:name="_Hlk217838458"/>
      <w:r w:rsidRPr="006C2B6A">
        <w:rPr>
          <w:spacing w:val="-2"/>
          <w:kern w:val="16"/>
          <w:sz w:val="20"/>
          <w:szCs w:val="20"/>
          <w:lang w:val="en-US"/>
        </w:rPr>
        <w:t>Serdar</w:t>
      </w:r>
      <w:r w:rsidR="00DA6733" w:rsidRPr="006C2B6A">
        <w:rPr>
          <w:spacing w:val="-2"/>
          <w:kern w:val="16"/>
          <w:sz w:val="20"/>
          <w:szCs w:val="20"/>
          <w:lang w:val="en-US"/>
        </w:rPr>
        <w:t>, I. (19</w:t>
      </w:r>
      <w:r w:rsidRPr="006C2B6A">
        <w:rPr>
          <w:spacing w:val="-2"/>
          <w:kern w:val="16"/>
          <w:sz w:val="20"/>
          <w:szCs w:val="20"/>
          <w:lang w:val="en-US"/>
        </w:rPr>
        <w:t>90</w:t>
      </w:r>
      <w:r w:rsidR="00DA6733" w:rsidRPr="006C2B6A">
        <w:rPr>
          <w:spacing w:val="-2"/>
          <w:kern w:val="16"/>
          <w:sz w:val="20"/>
          <w:szCs w:val="20"/>
          <w:lang w:val="en-US"/>
        </w:rPr>
        <w:t>). The theory of behavior</w:t>
      </w:r>
      <w:r w:rsidRPr="006C2B6A">
        <w:rPr>
          <w:spacing w:val="-2"/>
          <w:kern w:val="16"/>
          <w:sz w:val="20"/>
          <w:szCs w:val="20"/>
          <w:lang w:val="en-US"/>
        </w:rPr>
        <w:t xml:space="preserve"> like behavior</w:t>
      </w:r>
      <w:r w:rsidR="00DA6733" w:rsidRPr="006C2B6A">
        <w:rPr>
          <w:spacing w:val="-2"/>
          <w:kern w:val="16"/>
          <w:sz w:val="20"/>
          <w:szCs w:val="20"/>
          <w:lang w:val="en-US"/>
        </w:rPr>
        <w:t xml:space="preserve">. </w:t>
      </w:r>
      <w:r w:rsidR="00DA6733" w:rsidRPr="006C2B6A">
        <w:rPr>
          <w:rStyle w:val="Vurgu"/>
          <w:rFonts w:eastAsiaTheme="majorEastAsia"/>
          <w:spacing w:val="-2"/>
          <w:kern w:val="16"/>
          <w:sz w:val="20"/>
          <w:szCs w:val="20"/>
          <w:lang w:val="en-US"/>
        </w:rPr>
        <w:t xml:space="preserve">Organizational Behavior and </w:t>
      </w:r>
      <w:r w:rsidRPr="006C2B6A">
        <w:rPr>
          <w:rStyle w:val="Vurgu"/>
          <w:rFonts w:eastAsiaTheme="majorEastAsia"/>
          <w:spacing w:val="-2"/>
          <w:kern w:val="16"/>
          <w:sz w:val="20"/>
          <w:szCs w:val="20"/>
          <w:lang w:val="en-US"/>
        </w:rPr>
        <w:t>Behavior</w:t>
      </w:r>
      <w:r w:rsidR="00DA6733" w:rsidRPr="006C2B6A">
        <w:rPr>
          <w:rStyle w:val="Vurgu"/>
          <w:rFonts w:eastAsiaTheme="majorEastAsia"/>
          <w:spacing w:val="-2"/>
          <w:kern w:val="16"/>
          <w:sz w:val="20"/>
          <w:szCs w:val="20"/>
          <w:lang w:val="en-US"/>
        </w:rPr>
        <w:t>, 50</w:t>
      </w:r>
      <w:r w:rsidR="00DA6733" w:rsidRPr="006C2B6A">
        <w:rPr>
          <w:spacing w:val="-2"/>
          <w:kern w:val="16"/>
          <w:sz w:val="20"/>
          <w:szCs w:val="20"/>
          <w:lang w:val="en-US"/>
        </w:rPr>
        <w:t xml:space="preserve">(2), </w:t>
      </w:r>
      <w:r w:rsidRPr="006C2B6A">
        <w:rPr>
          <w:spacing w:val="-2"/>
          <w:kern w:val="16"/>
          <w:sz w:val="20"/>
          <w:szCs w:val="20"/>
          <w:lang w:val="en-US"/>
        </w:rPr>
        <w:t>140</w:t>
      </w:r>
      <w:r w:rsidR="00DA6733" w:rsidRPr="006C2B6A">
        <w:rPr>
          <w:spacing w:val="-2"/>
          <w:kern w:val="16"/>
          <w:sz w:val="20"/>
          <w:szCs w:val="20"/>
          <w:lang w:val="en-US"/>
        </w:rPr>
        <w:t>–</w:t>
      </w:r>
      <w:r w:rsidRPr="006C2B6A">
        <w:rPr>
          <w:spacing w:val="-2"/>
          <w:kern w:val="16"/>
          <w:sz w:val="20"/>
          <w:szCs w:val="20"/>
          <w:lang w:val="en-US"/>
        </w:rPr>
        <w:t>155</w:t>
      </w:r>
      <w:r w:rsidR="00DA6733" w:rsidRPr="006C2B6A">
        <w:rPr>
          <w:spacing w:val="-2"/>
          <w:kern w:val="16"/>
          <w:sz w:val="20"/>
          <w:szCs w:val="20"/>
          <w:lang w:val="en-US"/>
        </w:rPr>
        <w:t xml:space="preserve">. </w:t>
      </w:r>
      <w:hyperlink r:id="rId9" w:history="1">
        <w:r w:rsidRPr="006C2B6A">
          <w:rPr>
            <w:rStyle w:val="Kpr"/>
            <w:rFonts w:eastAsia="SimSun"/>
            <w:spacing w:val="-2"/>
            <w:kern w:val="16"/>
            <w:sz w:val="20"/>
            <w:szCs w:val="20"/>
            <w:lang w:val="en-US"/>
          </w:rPr>
          <w:t>https://doi.org/10.116/0749-5978(91)9-T</w:t>
        </w:r>
      </w:hyperlink>
      <w:r w:rsidR="00DA6733" w:rsidRPr="006C2B6A">
        <w:rPr>
          <w:spacing w:val="-2"/>
          <w:kern w:val="16"/>
          <w:sz w:val="20"/>
          <w:szCs w:val="20"/>
          <w:lang w:val="en-US"/>
        </w:rPr>
        <w:t xml:space="preserve"> </w:t>
      </w:r>
    </w:p>
    <w:p w14:paraId="2B34EB2B" w14:textId="4DF122B9" w:rsidR="00DA6733" w:rsidRPr="006C2B6A" w:rsidRDefault="00AB5089" w:rsidP="00B611EC">
      <w:pPr>
        <w:tabs>
          <w:tab w:val="left" w:pos="1290"/>
        </w:tabs>
        <w:suppressAutoHyphens/>
        <w:spacing w:before="60" w:after="60" w:line="280" w:lineRule="exact"/>
        <w:ind w:left="284" w:hanging="284"/>
        <w:jc w:val="both"/>
        <w:rPr>
          <w:rFonts w:ascii="Times New Roman" w:hAnsi="Times New Roman" w:cs="Times New Roman"/>
          <w:spacing w:val="-2"/>
          <w:kern w:val="16"/>
          <w:sz w:val="20"/>
          <w:szCs w:val="20"/>
          <w:lang w:val="en-US"/>
        </w:rPr>
      </w:pPr>
      <w:proofErr w:type="spellStart"/>
      <w:r w:rsidRPr="006C2B6A">
        <w:rPr>
          <w:rFonts w:ascii="Times New Roman" w:hAnsi="Times New Roman" w:cs="Times New Roman"/>
          <w:spacing w:val="-2"/>
          <w:kern w:val="16"/>
          <w:sz w:val="20"/>
          <w:szCs w:val="20"/>
          <w:lang w:val="en-US"/>
        </w:rPr>
        <w:t>Creda</w:t>
      </w:r>
      <w:proofErr w:type="spellEnd"/>
      <w:r w:rsidR="00DA6733" w:rsidRPr="006C2B6A">
        <w:rPr>
          <w:rFonts w:ascii="Times New Roman" w:hAnsi="Times New Roman" w:cs="Times New Roman"/>
          <w:spacing w:val="-2"/>
          <w:kern w:val="16"/>
          <w:sz w:val="20"/>
          <w:szCs w:val="20"/>
          <w:lang w:val="en-US"/>
        </w:rPr>
        <w:t xml:space="preserve">, </w:t>
      </w:r>
      <w:r w:rsidRPr="006C2B6A">
        <w:rPr>
          <w:rFonts w:ascii="Times New Roman" w:hAnsi="Times New Roman" w:cs="Times New Roman"/>
          <w:spacing w:val="-2"/>
          <w:kern w:val="16"/>
          <w:sz w:val="20"/>
          <w:szCs w:val="20"/>
          <w:lang w:val="en-US"/>
        </w:rPr>
        <w:t>A.K.</w:t>
      </w:r>
      <w:r w:rsidR="00DA6733" w:rsidRPr="006C2B6A">
        <w:rPr>
          <w:rFonts w:ascii="Times New Roman" w:hAnsi="Times New Roman" w:cs="Times New Roman"/>
          <w:spacing w:val="-2"/>
          <w:kern w:val="16"/>
          <w:sz w:val="20"/>
          <w:szCs w:val="20"/>
          <w:lang w:val="en-US"/>
        </w:rPr>
        <w:t xml:space="preserve"> (20</w:t>
      </w:r>
      <w:r w:rsidRPr="006C2B6A">
        <w:rPr>
          <w:rFonts w:ascii="Times New Roman" w:hAnsi="Times New Roman" w:cs="Times New Roman"/>
          <w:spacing w:val="-2"/>
          <w:kern w:val="16"/>
          <w:sz w:val="20"/>
          <w:szCs w:val="20"/>
          <w:lang w:val="en-US"/>
        </w:rPr>
        <w:t>2</w:t>
      </w:r>
      <w:r w:rsidR="00DA6733" w:rsidRPr="006C2B6A">
        <w:rPr>
          <w:rFonts w:ascii="Times New Roman" w:hAnsi="Times New Roman" w:cs="Times New Roman"/>
          <w:spacing w:val="-2"/>
          <w:kern w:val="16"/>
          <w:sz w:val="20"/>
          <w:szCs w:val="20"/>
          <w:lang w:val="en-US"/>
        </w:rPr>
        <w:t xml:space="preserve">2). Perceived behavioral control, </w:t>
      </w:r>
      <w:r w:rsidRPr="006C2B6A">
        <w:rPr>
          <w:rFonts w:ascii="Times New Roman" w:hAnsi="Times New Roman" w:cs="Times New Roman"/>
          <w:spacing w:val="-2"/>
          <w:kern w:val="16"/>
          <w:sz w:val="20"/>
          <w:szCs w:val="20"/>
          <w:lang w:val="en-US"/>
        </w:rPr>
        <w:t>behavioral</w:t>
      </w:r>
      <w:r w:rsidR="00DA6733" w:rsidRPr="006C2B6A">
        <w:rPr>
          <w:rFonts w:ascii="Times New Roman" w:hAnsi="Times New Roman" w:cs="Times New Roman"/>
          <w:spacing w:val="-2"/>
          <w:kern w:val="16"/>
          <w:sz w:val="20"/>
          <w:szCs w:val="20"/>
          <w:lang w:val="en-US"/>
        </w:rPr>
        <w:t xml:space="preserve">, locus of </w:t>
      </w:r>
      <w:r w:rsidRPr="006C2B6A">
        <w:rPr>
          <w:rFonts w:ascii="Times New Roman" w:hAnsi="Times New Roman" w:cs="Times New Roman"/>
          <w:spacing w:val="-2"/>
          <w:kern w:val="16"/>
          <w:sz w:val="20"/>
          <w:szCs w:val="20"/>
          <w:lang w:val="en-US"/>
        </w:rPr>
        <w:t>behavioral</w:t>
      </w:r>
      <w:r w:rsidR="00DA6733" w:rsidRPr="006C2B6A">
        <w:rPr>
          <w:rFonts w:ascii="Times New Roman" w:hAnsi="Times New Roman" w:cs="Times New Roman"/>
          <w:spacing w:val="-2"/>
          <w:kern w:val="16"/>
          <w:sz w:val="20"/>
          <w:szCs w:val="20"/>
          <w:lang w:val="en-US"/>
        </w:rPr>
        <w:t xml:space="preserve">, and the theory of </w:t>
      </w:r>
      <w:r w:rsidRPr="006C2B6A">
        <w:rPr>
          <w:rFonts w:ascii="Times New Roman" w:hAnsi="Times New Roman" w:cs="Times New Roman"/>
          <w:spacing w:val="-2"/>
          <w:kern w:val="16"/>
          <w:sz w:val="20"/>
          <w:szCs w:val="20"/>
          <w:lang w:val="en-US"/>
        </w:rPr>
        <w:t xml:space="preserve">behavioral </w:t>
      </w:r>
      <w:r w:rsidR="00DA6733" w:rsidRPr="006C2B6A">
        <w:rPr>
          <w:rFonts w:ascii="Times New Roman" w:hAnsi="Times New Roman" w:cs="Times New Roman"/>
          <w:spacing w:val="-2"/>
          <w:kern w:val="16"/>
          <w:sz w:val="20"/>
          <w:szCs w:val="20"/>
          <w:lang w:val="en-US"/>
        </w:rPr>
        <w:t xml:space="preserve">behavior. </w:t>
      </w:r>
      <w:r w:rsidR="00DA6733" w:rsidRPr="006C2B6A">
        <w:rPr>
          <w:rStyle w:val="Vurgu"/>
          <w:rFonts w:ascii="Times New Roman" w:hAnsi="Times New Roman" w:cs="Times New Roman"/>
          <w:spacing w:val="-2"/>
          <w:kern w:val="16"/>
          <w:sz w:val="20"/>
          <w:szCs w:val="20"/>
          <w:lang w:val="en-US"/>
        </w:rPr>
        <w:t xml:space="preserve">Journal of </w:t>
      </w:r>
      <w:r w:rsidRPr="006C2B6A">
        <w:rPr>
          <w:rStyle w:val="Vurgu"/>
          <w:rFonts w:ascii="Times New Roman" w:hAnsi="Times New Roman" w:cs="Times New Roman"/>
          <w:spacing w:val="-2"/>
          <w:kern w:val="16"/>
          <w:sz w:val="20"/>
          <w:szCs w:val="20"/>
          <w:lang w:val="en-US"/>
        </w:rPr>
        <w:t xml:space="preserve">Behavioral </w:t>
      </w:r>
      <w:r w:rsidR="00DA6733" w:rsidRPr="006C2B6A">
        <w:rPr>
          <w:rStyle w:val="Vurgu"/>
          <w:rFonts w:ascii="Times New Roman" w:hAnsi="Times New Roman" w:cs="Times New Roman"/>
          <w:spacing w:val="-2"/>
          <w:kern w:val="16"/>
          <w:sz w:val="20"/>
          <w:szCs w:val="20"/>
          <w:lang w:val="en-US"/>
        </w:rPr>
        <w:t>Social Psychology, 32</w:t>
      </w:r>
      <w:r w:rsidR="00DA6733" w:rsidRPr="006C2B6A">
        <w:rPr>
          <w:rFonts w:ascii="Times New Roman" w:hAnsi="Times New Roman" w:cs="Times New Roman"/>
          <w:spacing w:val="-2"/>
          <w:kern w:val="16"/>
          <w:sz w:val="20"/>
          <w:szCs w:val="20"/>
          <w:lang w:val="en-US"/>
        </w:rPr>
        <w:t xml:space="preserve">(4), 66–68. </w:t>
      </w:r>
      <w:hyperlink r:id="rId10" w:history="1">
        <w:r w:rsidRPr="006C2B6A">
          <w:rPr>
            <w:rStyle w:val="Kpr"/>
            <w:rFonts w:ascii="Times New Roman" w:hAnsi="Times New Roman" w:cs="Times New Roman"/>
            <w:spacing w:val="-2"/>
            <w:kern w:val="16"/>
            <w:sz w:val="20"/>
            <w:szCs w:val="20"/>
            <w:lang w:val="en-US"/>
          </w:rPr>
          <w:t>https://doi.org/10.111/j.159-1816.20000236.x</w:t>
        </w:r>
      </w:hyperlink>
      <w:r w:rsidR="00DA6733" w:rsidRPr="006C2B6A">
        <w:rPr>
          <w:rFonts w:ascii="Times New Roman" w:hAnsi="Times New Roman" w:cs="Times New Roman"/>
          <w:spacing w:val="-2"/>
          <w:kern w:val="16"/>
          <w:sz w:val="20"/>
          <w:szCs w:val="20"/>
          <w:lang w:val="en-US"/>
        </w:rPr>
        <w:t xml:space="preserve"> </w:t>
      </w:r>
      <w:bookmarkEnd w:id="1"/>
    </w:p>
    <w:sectPr w:rsidR="00DA6733" w:rsidRPr="006C2B6A" w:rsidSect="00AC25D1">
      <w:footerReference w:type="even" r:id="rId1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89DF" w14:textId="77777777" w:rsidR="00A4448A" w:rsidRDefault="00A4448A">
      <w:pPr>
        <w:spacing w:line="240" w:lineRule="auto"/>
      </w:pPr>
      <w:r>
        <w:separator/>
      </w:r>
    </w:p>
  </w:endnote>
  <w:endnote w:type="continuationSeparator" w:id="0">
    <w:p w14:paraId="2B7B0221" w14:textId="77777777" w:rsidR="00A4448A" w:rsidRDefault="00A44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352077596"/>
      <w:docPartObj>
        <w:docPartGallery w:val="Page Numbers (Bottom of Page)"/>
        <w:docPartUnique/>
      </w:docPartObj>
    </w:sdtPr>
    <w:sdtContent>
      <w:p w14:paraId="2B60942E" w14:textId="3429F918" w:rsidR="00AC25D1" w:rsidRPr="006C2B6A" w:rsidRDefault="00AC25D1">
        <w:pPr>
          <w:pStyle w:val="AltBilgi"/>
          <w:jc w:val="right"/>
          <w:rPr>
            <w:rFonts w:ascii="Times New Roman" w:hAnsi="Times New Roman"/>
          </w:rPr>
        </w:pPr>
        <w:r w:rsidRPr="006C2B6A">
          <w:rPr>
            <w:rFonts w:ascii="Times New Roman" w:hAnsi="Times New Roman"/>
          </w:rPr>
          <w:fldChar w:fldCharType="begin"/>
        </w:r>
        <w:r w:rsidRPr="006C2B6A">
          <w:rPr>
            <w:rFonts w:ascii="Times New Roman" w:hAnsi="Times New Roman"/>
          </w:rPr>
          <w:instrText>PAGE   \* MERGEFORMAT</w:instrText>
        </w:r>
        <w:r w:rsidRPr="006C2B6A">
          <w:rPr>
            <w:rFonts w:ascii="Times New Roman" w:hAnsi="Times New Roman"/>
          </w:rPr>
          <w:fldChar w:fldCharType="separate"/>
        </w:r>
        <w:r w:rsidRPr="006C2B6A">
          <w:rPr>
            <w:rFonts w:ascii="Times New Roman" w:hAnsi="Times New Roman"/>
          </w:rPr>
          <w:t>2</w:t>
        </w:r>
        <w:r w:rsidRPr="006C2B6A">
          <w:rPr>
            <w:rFonts w:ascii="Times New Roman" w:hAnsi="Times New Roman"/>
          </w:rPr>
          <w:fldChar w:fldCharType="end"/>
        </w:r>
      </w:p>
    </w:sdtContent>
  </w:sdt>
  <w:p w14:paraId="2050684C" w14:textId="77777777" w:rsidR="00AC25D1" w:rsidRDefault="00AC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EEF1" w14:textId="77777777" w:rsidR="00A4448A" w:rsidRDefault="00A4448A">
      <w:pPr>
        <w:spacing w:after="0"/>
      </w:pPr>
      <w:r>
        <w:separator/>
      </w:r>
    </w:p>
  </w:footnote>
  <w:footnote w:type="continuationSeparator" w:id="0">
    <w:p w14:paraId="65873430" w14:textId="77777777" w:rsidR="00A4448A" w:rsidRDefault="00A444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49CB"/>
    <w:rsid w:val="00076750"/>
    <w:rsid w:val="000823DC"/>
    <w:rsid w:val="00082EFE"/>
    <w:rsid w:val="000857E8"/>
    <w:rsid w:val="00086949"/>
    <w:rsid w:val="000912BD"/>
    <w:rsid w:val="000939F1"/>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7C"/>
    <w:rsid w:val="00101D5D"/>
    <w:rsid w:val="001059FF"/>
    <w:rsid w:val="00107A0C"/>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1A7A"/>
    <w:rsid w:val="00302E11"/>
    <w:rsid w:val="003036C0"/>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5C82"/>
    <w:rsid w:val="004206FE"/>
    <w:rsid w:val="004208F1"/>
    <w:rsid w:val="004240B0"/>
    <w:rsid w:val="004249FA"/>
    <w:rsid w:val="00424A4D"/>
    <w:rsid w:val="00425564"/>
    <w:rsid w:val="0042567C"/>
    <w:rsid w:val="0042781C"/>
    <w:rsid w:val="00427C12"/>
    <w:rsid w:val="0043002C"/>
    <w:rsid w:val="00430568"/>
    <w:rsid w:val="00431266"/>
    <w:rsid w:val="00432158"/>
    <w:rsid w:val="0043287B"/>
    <w:rsid w:val="00434575"/>
    <w:rsid w:val="00434CF6"/>
    <w:rsid w:val="004355F7"/>
    <w:rsid w:val="00436930"/>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3A5C"/>
    <w:rsid w:val="00464BB8"/>
    <w:rsid w:val="00467BE1"/>
    <w:rsid w:val="00470909"/>
    <w:rsid w:val="004714DE"/>
    <w:rsid w:val="00474397"/>
    <w:rsid w:val="004753D1"/>
    <w:rsid w:val="0047546A"/>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19EC"/>
    <w:rsid w:val="004B4201"/>
    <w:rsid w:val="004B46CD"/>
    <w:rsid w:val="004B6467"/>
    <w:rsid w:val="004B6469"/>
    <w:rsid w:val="004B6DB1"/>
    <w:rsid w:val="004B7B79"/>
    <w:rsid w:val="004C1E45"/>
    <w:rsid w:val="004C401D"/>
    <w:rsid w:val="004C47CD"/>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6F2"/>
    <w:rsid w:val="00553A44"/>
    <w:rsid w:val="00553B58"/>
    <w:rsid w:val="00560E1D"/>
    <w:rsid w:val="00562CDA"/>
    <w:rsid w:val="0056300B"/>
    <w:rsid w:val="0056324F"/>
    <w:rsid w:val="005678E8"/>
    <w:rsid w:val="0057074F"/>
    <w:rsid w:val="00572434"/>
    <w:rsid w:val="0057329D"/>
    <w:rsid w:val="00573783"/>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49D1"/>
    <w:rsid w:val="005A5398"/>
    <w:rsid w:val="005A7301"/>
    <w:rsid w:val="005A7367"/>
    <w:rsid w:val="005B153F"/>
    <w:rsid w:val="005B7F39"/>
    <w:rsid w:val="005C11FF"/>
    <w:rsid w:val="005C23B8"/>
    <w:rsid w:val="005C574B"/>
    <w:rsid w:val="005C5FAE"/>
    <w:rsid w:val="005D0FC2"/>
    <w:rsid w:val="005D2F0B"/>
    <w:rsid w:val="005D46E9"/>
    <w:rsid w:val="005D5E98"/>
    <w:rsid w:val="005E106B"/>
    <w:rsid w:val="005E1389"/>
    <w:rsid w:val="005E4FF5"/>
    <w:rsid w:val="005F1A1E"/>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69B2"/>
    <w:rsid w:val="00680FC0"/>
    <w:rsid w:val="00681312"/>
    <w:rsid w:val="00684A3C"/>
    <w:rsid w:val="0068587E"/>
    <w:rsid w:val="00690E3D"/>
    <w:rsid w:val="00691B17"/>
    <w:rsid w:val="0069450D"/>
    <w:rsid w:val="006A417B"/>
    <w:rsid w:val="006A6A2C"/>
    <w:rsid w:val="006B00C5"/>
    <w:rsid w:val="006B2F9E"/>
    <w:rsid w:val="006B34D8"/>
    <w:rsid w:val="006B46F0"/>
    <w:rsid w:val="006B66A1"/>
    <w:rsid w:val="006B6C49"/>
    <w:rsid w:val="006C0835"/>
    <w:rsid w:val="006C0AD2"/>
    <w:rsid w:val="006C20B5"/>
    <w:rsid w:val="006C286D"/>
    <w:rsid w:val="006C2B6A"/>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4E"/>
    <w:rsid w:val="00716E7A"/>
    <w:rsid w:val="00717FA3"/>
    <w:rsid w:val="00720247"/>
    <w:rsid w:val="007211D3"/>
    <w:rsid w:val="00722338"/>
    <w:rsid w:val="00724187"/>
    <w:rsid w:val="007241EE"/>
    <w:rsid w:val="007247E3"/>
    <w:rsid w:val="00724E79"/>
    <w:rsid w:val="00725D4D"/>
    <w:rsid w:val="00725D5F"/>
    <w:rsid w:val="00726CFC"/>
    <w:rsid w:val="007279AE"/>
    <w:rsid w:val="007309C0"/>
    <w:rsid w:val="007367E5"/>
    <w:rsid w:val="00737013"/>
    <w:rsid w:val="007378A3"/>
    <w:rsid w:val="00750DBD"/>
    <w:rsid w:val="007522D6"/>
    <w:rsid w:val="0075325A"/>
    <w:rsid w:val="007536C9"/>
    <w:rsid w:val="007604B0"/>
    <w:rsid w:val="00762024"/>
    <w:rsid w:val="00762BD0"/>
    <w:rsid w:val="007647F9"/>
    <w:rsid w:val="0076496C"/>
    <w:rsid w:val="00765C82"/>
    <w:rsid w:val="00766153"/>
    <w:rsid w:val="00773A9B"/>
    <w:rsid w:val="00774524"/>
    <w:rsid w:val="0077581B"/>
    <w:rsid w:val="007835ED"/>
    <w:rsid w:val="00783F7C"/>
    <w:rsid w:val="0079093F"/>
    <w:rsid w:val="0079183F"/>
    <w:rsid w:val="007923EF"/>
    <w:rsid w:val="007950C2"/>
    <w:rsid w:val="007974F4"/>
    <w:rsid w:val="007A0E06"/>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42616"/>
    <w:rsid w:val="00843529"/>
    <w:rsid w:val="00845988"/>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0A9E"/>
    <w:rsid w:val="009149C8"/>
    <w:rsid w:val="009158D7"/>
    <w:rsid w:val="0092088F"/>
    <w:rsid w:val="009218AD"/>
    <w:rsid w:val="009220C7"/>
    <w:rsid w:val="00923154"/>
    <w:rsid w:val="00924979"/>
    <w:rsid w:val="009251EC"/>
    <w:rsid w:val="00926B48"/>
    <w:rsid w:val="00927A8D"/>
    <w:rsid w:val="00930ABE"/>
    <w:rsid w:val="00931ECF"/>
    <w:rsid w:val="00934630"/>
    <w:rsid w:val="00936C8B"/>
    <w:rsid w:val="009402E5"/>
    <w:rsid w:val="00942979"/>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369B"/>
    <w:rsid w:val="009E4735"/>
    <w:rsid w:val="009E53CC"/>
    <w:rsid w:val="009E79AE"/>
    <w:rsid w:val="009F197A"/>
    <w:rsid w:val="009F1D74"/>
    <w:rsid w:val="009F21CF"/>
    <w:rsid w:val="009F27C3"/>
    <w:rsid w:val="009F2F14"/>
    <w:rsid w:val="009F5F7E"/>
    <w:rsid w:val="009F776A"/>
    <w:rsid w:val="00A010F1"/>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448A"/>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7DC2"/>
    <w:rsid w:val="00A806E4"/>
    <w:rsid w:val="00A8281F"/>
    <w:rsid w:val="00A833C2"/>
    <w:rsid w:val="00A834AD"/>
    <w:rsid w:val="00A849F3"/>
    <w:rsid w:val="00A851A6"/>
    <w:rsid w:val="00A86529"/>
    <w:rsid w:val="00A87001"/>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79AE"/>
    <w:rsid w:val="00AD169A"/>
    <w:rsid w:val="00AD1721"/>
    <w:rsid w:val="00AD1D1A"/>
    <w:rsid w:val="00AD1F8B"/>
    <w:rsid w:val="00AD2083"/>
    <w:rsid w:val="00AD2517"/>
    <w:rsid w:val="00AD3970"/>
    <w:rsid w:val="00AD534E"/>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27F7"/>
    <w:rsid w:val="00B236A1"/>
    <w:rsid w:val="00B23BDF"/>
    <w:rsid w:val="00B3193F"/>
    <w:rsid w:val="00B3258F"/>
    <w:rsid w:val="00B341BA"/>
    <w:rsid w:val="00B35044"/>
    <w:rsid w:val="00B35AB5"/>
    <w:rsid w:val="00B360CE"/>
    <w:rsid w:val="00B411ED"/>
    <w:rsid w:val="00B4261E"/>
    <w:rsid w:val="00B45938"/>
    <w:rsid w:val="00B45A2C"/>
    <w:rsid w:val="00B527DD"/>
    <w:rsid w:val="00B532BE"/>
    <w:rsid w:val="00B55147"/>
    <w:rsid w:val="00B57E3D"/>
    <w:rsid w:val="00B60294"/>
    <w:rsid w:val="00B611AA"/>
    <w:rsid w:val="00B611EC"/>
    <w:rsid w:val="00B63A08"/>
    <w:rsid w:val="00B63D60"/>
    <w:rsid w:val="00B641A5"/>
    <w:rsid w:val="00B67D15"/>
    <w:rsid w:val="00B70BE4"/>
    <w:rsid w:val="00B71147"/>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19C"/>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45B9"/>
    <w:rsid w:val="00BD0937"/>
    <w:rsid w:val="00BD5761"/>
    <w:rsid w:val="00BE1DD8"/>
    <w:rsid w:val="00BE1FD8"/>
    <w:rsid w:val="00BE2CD5"/>
    <w:rsid w:val="00BE48A8"/>
    <w:rsid w:val="00BE4FA8"/>
    <w:rsid w:val="00BF0BDD"/>
    <w:rsid w:val="00BF19A0"/>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6436"/>
    <w:rsid w:val="00DA6733"/>
    <w:rsid w:val="00DB1DF6"/>
    <w:rsid w:val="00DB2BFD"/>
    <w:rsid w:val="00DB7900"/>
    <w:rsid w:val="00DC6CB3"/>
    <w:rsid w:val="00DC6DC0"/>
    <w:rsid w:val="00DD1CD2"/>
    <w:rsid w:val="00DD3048"/>
    <w:rsid w:val="00DD39C6"/>
    <w:rsid w:val="00DD571F"/>
    <w:rsid w:val="00DD743B"/>
    <w:rsid w:val="00DE14FE"/>
    <w:rsid w:val="00DE27B1"/>
    <w:rsid w:val="00DE75D0"/>
    <w:rsid w:val="00DF0718"/>
    <w:rsid w:val="00DF0C46"/>
    <w:rsid w:val="00DF0DA0"/>
    <w:rsid w:val="00DF59B8"/>
    <w:rsid w:val="00DF74F9"/>
    <w:rsid w:val="00DF795D"/>
    <w:rsid w:val="00E0013B"/>
    <w:rsid w:val="00E01A1A"/>
    <w:rsid w:val="00E02163"/>
    <w:rsid w:val="00E0227A"/>
    <w:rsid w:val="00E0257D"/>
    <w:rsid w:val="00E025D5"/>
    <w:rsid w:val="00E026BF"/>
    <w:rsid w:val="00E03B7E"/>
    <w:rsid w:val="00E047BA"/>
    <w:rsid w:val="00E04D9F"/>
    <w:rsid w:val="00E0588F"/>
    <w:rsid w:val="00E07A6E"/>
    <w:rsid w:val="00E13D7C"/>
    <w:rsid w:val="00E1519B"/>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517DC"/>
    <w:rsid w:val="00E608DB"/>
    <w:rsid w:val="00E619DF"/>
    <w:rsid w:val="00E65697"/>
    <w:rsid w:val="00E65EA6"/>
    <w:rsid w:val="00E669E3"/>
    <w:rsid w:val="00E70353"/>
    <w:rsid w:val="00E73223"/>
    <w:rsid w:val="00E73FBD"/>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FB1"/>
    <w:rsid w:val="00F453A8"/>
    <w:rsid w:val="00F459E7"/>
    <w:rsid w:val="00F45B2C"/>
    <w:rsid w:val="00F501C8"/>
    <w:rsid w:val="00F5078B"/>
    <w:rsid w:val="00F50B6D"/>
    <w:rsid w:val="00F55422"/>
    <w:rsid w:val="00F569FA"/>
    <w:rsid w:val="00F6126C"/>
    <w:rsid w:val="00F6130E"/>
    <w:rsid w:val="00F626F1"/>
    <w:rsid w:val="00F629B9"/>
    <w:rsid w:val="00F652B8"/>
    <w:rsid w:val="00F65548"/>
    <w:rsid w:val="00F657CF"/>
    <w:rsid w:val="00F67028"/>
    <w:rsid w:val="00F731E7"/>
    <w:rsid w:val="00F76140"/>
    <w:rsid w:val="00F85E63"/>
    <w:rsid w:val="00F85FB8"/>
    <w:rsid w:val="00F86695"/>
    <w:rsid w:val="00F86F7A"/>
    <w:rsid w:val="00F9029C"/>
    <w:rsid w:val="00F91A25"/>
    <w:rsid w:val="00F91C43"/>
    <w:rsid w:val="00F92747"/>
    <w:rsid w:val="00F9316A"/>
    <w:rsid w:val="00F96DB8"/>
    <w:rsid w:val="00F97487"/>
    <w:rsid w:val="00F9779C"/>
    <w:rsid w:val="00FA032C"/>
    <w:rsid w:val="00FA3C2F"/>
    <w:rsid w:val="00FA5836"/>
    <w:rsid w:val="00FA5967"/>
    <w:rsid w:val="00FB0A67"/>
    <w:rsid w:val="00FB196C"/>
    <w:rsid w:val="00FB2382"/>
    <w:rsid w:val="00FB261C"/>
    <w:rsid w:val="00FB2BF8"/>
    <w:rsid w:val="00FC0A3B"/>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j.159-1816.20000236.x" TargetMode="External"/><Relationship Id="rId4" Type="http://schemas.openxmlformats.org/officeDocument/2006/relationships/settings" Target="settings.xml"/><Relationship Id="rId9" Type="http://schemas.openxmlformats.org/officeDocument/2006/relationships/hyperlink" Target="https://doi.org/10.116/0749-5978(91)9-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1057</Words>
  <Characters>6475</Characters>
  <Application>Microsoft Office Word</Application>
  <DocSecurity>0</DocSecurity>
  <Lines>132</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8</cp:revision>
  <cp:lastPrinted>2026-01-12T14:46:00Z</cp:lastPrinted>
  <dcterms:created xsi:type="dcterms:W3CDTF">2026-01-12T19:19:00Z</dcterms:created>
  <dcterms:modified xsi:type="dcterms:W3CDTF">2026-01-12T23:27:00Z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